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in immediately available funds at Closing, subject to any expressly agreed purchase price adjustment set forth in this Agreement, any withholding required by applicable law, and any set-off rights expressly agreed in this Agreement solely with respect to indemnity claims that are finally determined by a court of competent jurisdiction or are undisputed in writing by the Seller.</w:t>
      </w:r>
    </w:p>
    <w:p>
      <w:r>
        <w:t>2. Closing. Closing shall occur as promptly as practicable and in any event within 45 days after signing, subject to satisfaction or waiver of the conditions expressly set forth in this Agreement, including: (a) the accuracy in all material respects of the representations and warranties of each party as of signing and Closing, except for fundamental representations, which shall be accurate in all respects except for de minimis inaccuracies; (b) performance in all material respects of each party’s covenants required to be performed prior to Closing; (c) receipt of any required governmental or third-party approvals identified in the disclosure schedule; (d) no material adverse effect having occurred with respect to the Company after signing; and (e) completion of Buyer’s confirmatory diligence prior to Closing, provided that Buyer may not refuse to close under this clause (e) unless such diligence identifies a material adverse fact or circumstance not fairly disclosed in the disclosure schedule or in the written materials made available to Buyer before signing.</w:t>
      </w:r>
    </w:p>
    <w:p>
      <w:r>
        <w:t>3. Representations. The Seller represents and warrants to the Buyer that: (a) the Seller has good and valid title to the Shares, free and clear of liens other than restrictions arising under applicable securities laws or liens created by Buyer; (b) the Seller has full power and authority to enter into and perform this Agreement, and this Agreement constitutes a valid and binding obligation of the Seller, enforceable in accordance with its terms; (c) the execution, delivery, and performance of this Agreement by the Seller do not conflict with the organizational documents of the Company or, except as would not reasonably be expected to be material, any applicable law or material contract binding on the Seller or the Company; (d) the capitalization of the Company is as set forth in the disclosure schedule, and the Shares constitute the equity interests being sold under this Agreement; (e) the financial statements fairly present in all material respects the financial position of the Company as of the dates indicated, subject to normal year-end adjustments and the matters fairly disclosed in the disclosure schedule; (f) except as fairly disclosed in the disclosure schedule, the Company has complied in all material respects with applicable laws, filed material tax returns required to be filed, paid material taxes due and payable, is not party to material litigation, has no material undisclosed liabilities required to be reflected in the financial statements under the accounting principles used to prepare them, and is not in material default under its material contracts; and (g) employment matters relating to the Company are as fairly disclosed in the disclosure schedule, except where any failure to disclose would not reasonably be expected to be material. The representations and warranties in this Section 3 are qualified by the specific matters fairly disclosed in the written disclosure schedule delivered with this Agreement.</w:t>
      </w:r>
    </w:p>
    <w:p>
      <w:r>
        <w:t>4. Confidentiality. The terms of this Agreement, the negotiations relating to it, and all non-public information exchanged between the parties are confidential and shall not be disclosed by either party except to its affiliates, equityholders, internal approval bodies, debt and equity financing sources, prospective financing sources, accountants, counsel, insurers, other representatives, regulators, or as required by applicable law, stock exchange rule, legal process, or governmental authority, in each case subject to customary confidentiality obligations where reasonably practicable.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