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42,000,000 for the Shares, payable in immediately available funds at Closing.</w:t>
      </w:r>
    </w:p>
    <w:p>
      <w:r>
        <w:t>2. Closing. Closing shall occur within 30 days of signing, subject to satisfaction or waiver of the conditions set forth in this Agreement. The obligations of Buyer to consummate the Closing shall be subject to: (a) the Seller’s representations and warranties being true and correct in all material respects as of signing and as of Closing, except for representations and warranties that speak as of a specified date, which shall be true and correct in all material respects as of such date; (b) Seller having performed in all material respects all covenants required to be performed by it prior to Closing; (c) no Material Adverse Effect having occurred since signing; and (d) Seller having delivered customary closing documentation reasonably required to transfer the Shares to Buyer.</w:t>
      </w:r>
    </w:p>
    <w:p>
      <w:r>
        <w:t>3. Representations. The Seller represents that the financial statements fairly present in all material respects the financial position and results of operations of the Company as of the dates indicated therein and for the periods then ended, in accordance with applicable accounting principles consistently applied.</w:t>
      </w:r>
    </w:p>
    <w:p>
      <w:r>
        <w:t>5. Indemnification; Escrow. From and after Closing, Seller shall indemnify Buyer for losses actually incurred by Buyer arising out of any breach of Seller’s representations and warranties, any breach by Seller of its covenants, and any pre-Closing taxes of the Company, subject to customary limitations to be agreed, including a survival period of 12 months for general representations and warranties, a basket equal to 1% of the Purchase Price, and an aggregate cap equal to 10% of the Purchase Price, except in the case of fraud, willful misconduct, and customary fundamental matters. At Closing, an amount equal to 5% of the Purchase Price shall be deposited into escrow with a mutually agreed escrow agent for 12 months as Buyer’s non-exclusive source of recovery for indemnifiable losses, subject to the limitations set forth in this Section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