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to the Seller's knowledge, the financial statements fairly present in all material respects the financial position of the Company as of the dates indicated therein.</w:t>
      </w:r>
    </w:p>
    <w:p>
      <w:r>
        <w:t>4. Confidentiality. The terms of this Agreement and all negotiations relating hereto are confidential and shall not be disclosed by either party except to its representatives, financing sources, or as required by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