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w:t>
      </w:r>
    </w:p>
    <w:p>
      <w:r>
        <w:t>2. Closing. Closing shall occur within 45 days of signing, subject to the satisfaction or waiver of the closing conditions set forth in this Agreement.</w:t>
      </w:r>
    </w:p>
    <w:p>
      <w:r>
        <w:t>3. Representations. The Seller represents that the financial statements fairly present in all material respects the financial position and results of operations of the Company as of the dates and for the periods indicated therein, in accordance with applicable accounting principles consistently applied.</w:t>
      </w:r>
    </w:p>
    <w:p>
      <w:r>
        <w:t>5. Closing Conditions. The obligation of each party to consummate the transactions contemplated by this Agreement shall be subject to customary closing conditions, including: (a) the representations and warranties of the other party being true and correct at closing, subject to customary materiality qualifiers; (b) the other party having performed in all material respects its covenants required to be performed at or prior to closing; (c) the absence of any material adverse effect with respect to the Company; (d) receipt of required approvals; and (e) delivery of customary closing certificates and corporate authorizations.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