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 at Closing by wire transfer of immediately available funds to an account designated by the Seller.</w:t>
      </w:r>
    </w:p>
    <w:p>
      <w:r>
        <w:t>2. Closing. Closing shall occur no later than 45 days after signing, subject to receipt of any required regulatory or third-party approvals and satisfaction or waiver of the closing conditions expressly set forth in this Agreement. Buyer’s confirmatory diligence shall proceed promptly and in good faith prior to Closing, but completion of such diligence shall not constitute an independent condition to Closing except to the extent expressly provided herein.</w:t>
      </w:r>
    </w:p>
    <w:p>
      <w:r>
        <w:t>3. Representations. The Seller represents that: (a) it has authority to enter into and perform this Agreement; (b) the Seller owns good and valid title to the Shares, free and clear of liens other than restrictions arising under applicable securities laws; (c) execution and performance of this Agreement do not conflict with the Seller’s organizational documents or any material agreement binding on the Seller; (d) to the Seller’s knowledge, the Company is in material compliance with applicable laws; (e) the financial statements delivered to Buyer were prepared in good faith and fairly present in all material respects the financial position of the Company for the periods presented; (f) to the Seller’s knowledge, there are no material undisclosed liabilities outside the ordinary course of business; (g) to the Seller’s knowledge, the Company has timely filed material tax returns and paid material taxes due; (h) the material contracts made available to Buyer are true and complete in all material respects; (i) to the Seller’s knowledge, there is no material litigation pending against the Company; (j) to the Seller’s knowledge, the Company is in material compliance with applicable employment and benefits laws; (k) to the Seller’s knowledge, the Company owns or has rights to use the intellectual property material to its business; (l) to the Seller’s knowledge, the Company is in material compliance with applicable data protection and privacy laws; and (m) since the date of the most recent financial statements made available to Buyer, there has not been a material adverse change in the business of the Company, taken as a whole.</w:t>
      </w:r>
    </w:p>
    <w:p>
      <w:r>
        <w:t>6. Indemnification. Following Closing, Seller shall indemnify Buyer for losses arising from breaches of Seller’s representations and covenants and for pre-Closing taxes of the Company, subject to customary limitations, exclusions, and mitigation obligations. Seller’s aggregate liability for non-fundamental representation claims shall not exceed 5% of the Purchase Price, and no claim for breach of non-fundamental representations may be brought after the date that is 12 months following Closing. At Closing, 5% of the Purchase Price shall be deposited into escrow for 12 months solely to secure Seller’s indemnification obligations for non-fundamental representation claims, with any undisputed balance released to Seller at the end of such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