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in writing. The Purchase Price shall not be subject to any financing contingency or post-Closing adjustment except as expressly agreed in writing by the parties.</w:t>
      </w:r>
    </w:p>
    <w:p>
      <w:r>
        <w:t>2. Closing. Closing shall occur as promptly as practicable following the satisfaction or waiver of the conditions set forth in this Agreement, and in any event within 45 days after signing, subject to receipt of required third-party and regulatory consents. Buyer’s confirmatory diligence shall not delay Closing except to the extent such diligence identifies a material breach of Seller’s representations and warranties under this Agreement or a failure of an express closing condition.</w:t>
      </w:r>
    </w:p>
    <w:p>
      <w:r>
        <w:t>3. Representations. The Seller represents to Buyer that: (a) Seller has good and valid title to the Shares, free and clear of liens other than transfer restrictions under applicable securities laws or this Agreement; (b) Seller has the authority to enter into and perform this Agreement, and this Agreement constitutes a valid and binding obligation of Seller; (c) the execution and performance of this Agreement by Seller will not conflict in any material respect with any material contract, organizational document, or law applicable to Seller or the Company; (d) the financial statements provided to Buyer in diligence were prepared from the books and records of the Company and fairly present in all material respects the financial condition and results of operations of the Company for the periods presented, in accordance with the accounting principles historically applied by the Company, consistently applied, subject to normal year-end adjustments and the absence of notes; (e) to Seller’s knowledge, the Company is in material compliance with applicable laws; (f) to Seller’s knowledge, there are no undisclosed liabilities of the Company required to be reflected in the financial statements provided to Buyer, other than liabilities incurred in the ordinary course since the latest balance sheet date; (g) the Company has filed material tax returns required to be filed and paid material taxes shown as due, except for taxes being contested in good faith or not yet due; (h) Seller has made available to Buyer copies or summaries of the Company’s material contracts; (i) to Seller’s knowledge, there is no material litigation pending against the Company; (j) to Seller’s knowledge, the Company is not in material violation of applicable employment, intellectual property, data privacy, or data security laws; and (k) since the latest balance sheet date, the Company has operated in the ordinary course in all material respects, except as disclosed to Buyer.</w:t>
      </w:r>
    </w:p>
    <w:p>
      <w:r>
        <w:t>7. Indemnification. Following Closing, Seller shall indemnify Buyer for losses actually incurred by Buyer arising from: (a) breaches of Seller’s representations and warranties; (b) breaches of Seller’s covenants; and (c) pre-Closing taxes of the Company to the extent not reflected in the financial statements or otherwise taken into account in the agreed economics. Seller’s representations and warranties shall survive for 12 months after Closing, except that fundamental representations relating to title to the Shares and authority shall survive for the applicable statute of limitations. Seller’s liability for breaches of non-fundamental representations shall be subject to a customary deductible equal to 1.0% of the Purchase Price and a cap equal to 10.0% of the Purchase Price. Liability for breaches of fundamental representations, fraud, willful misconduct, and pre-Closing taxes shall not be subject to the foregoing cap, but shall not exceed the Purchase Price except in the case of fraud. Any escrow or holdback shall be subject to mutual agreement on amount, duration, release mechanics, and exclusive recourse treatment for non-fundamental representation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