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and Adjustments. Subject to client approval and definitive documentation, the Seller proposes a base price of USD 40,000,000 for all the Shares on a cash-free, debt-free basis with normalized working capital at Closing. The equity purchase price shall equal that base price, plus agreed Closing cash, less agreed Closing debt and unpaid Company transaction expenses, and plus or minus the amount by which Closing working capital exceeds or falls below an agreed normalized target. The definitions, target, illustrative price bridge and accounting policies shall be agreed in an attached schedule before signing, with no double counting between adjustment categories or indemnity recoveries. The Seller shall deliver a good-faith estimated completion statement with supporting calculations at least five Business Days before Closing. At Closing the Buyer shall pay the estimated equity purchase price by wire transfer of immediately available funds, less an amount equal to 5% of the base price deposited with an independent escrow agent under an agreed escrow agreement. Within 60 days after Closing, the Buyer shall deliver its proposed final completion statement and supporting records. The Seller shall have 30 days to object, with reasonable access to relevant records and personnel; unresolved accounting disputes shall, after 20 Business Days of good-faith discussions, be referred to an independent accountant acting as expert, confined to disputed items and the parties' submitted ranges. Final adjustment payments shall be made within five Business Days after determination. The escrow shall secure ordinary business-warranty claims and be released 12 months after Closing, except for amounts reasonably attributable to timely notified, reasonably detailed unresolved claims. Escrow distributions for claims require joint instructions or a final binding determination. Neither party may unilaterally withhold or set off disputed claims against payments due; agreed price adjustments and recoveries under the agreed indemnity and escrow mechanisms remain available. Funding conditionality remains open for negotiation: the Seller requires satisfactory evidence of available cash or binding financing commitments before signing and proposes that obtaining financing shall not be a condition to Closing. No financing condition is agreed by this draft.</w:t>
      </w:r>
    </w:p>
    <w:p>
      <w:r>
        <w:t>2. Signing, Interim Conduct and Closing. Before signing, the parties shall complete satisfactory diligence and agree the disclosure schedules, financial-statement identification schedule, price-adjustment definitions, funding provisions and other definitive terms. Following signing, the parties shall target Closing within 30 days, with Closing occurring on the fifth Business Day after satisfaction or lawful waiver of the agreed closing conditions, or another agreed date. Conditions shall comprise required regulatory approvals, absence of a legal prohibition, material performance of pre-Closing covenants, and a bring-down of the warranties: fundamental warranties shall be true in all material respects, and inaccuracies in business warranties shall not prevent Closing unless, taken together, they constitute a material adverse effect on the Company, with no duplicate materiality test. These standards and the definition of material adverse effect shall be settled before signing. Diligence shall not be a discretionary post-signing closing condition. The long-stop date shall be 90 days after signing, extended once by 60 days at either party's election if regulatory approvals are the only outstanding conditions other than conditions to be satisfied at Closing. Each party shall use reasonable best efforts to obtain required approvals promptly; neither party shall be obliged to accept material divestitures or other material remedies absent express agreement. Either party may terminate after the applicable long-stop date, unless its material breach caused the failure to close, or upon a final, nonappealable legal prohibition. Either party may terminate for the other's material breach preventing satisfaction of a closing condition if not cured within 20 Business Days after notice, subject to the terminating party not itself being in material breach. Termination shall preserve accrued rights for breach and surviving confidentiality obligations. Pending Closing, the Seller shall procure that the Company operates in the ordinary course and does not make distributions, issue shares, incur material nonordinary-course debt, dispose of material assets or enter into material nonordinary-course commitments without the Buyer's consent, not unreasonably withheld, conditioned or delayed, except as disclosed and agreed or required by law. The Seller shall provide reasonable diligence access on notice, without undue disruption and subject to confidentiality, privilege, data protection and competition-law restrictions; the Buyer shall not contact employees, customers or suppliers without prior consent. At Closing, the Seller shall deliver executed Share transfers, evidence of title and agreed corporate deliverables against payment of the purchase price and funding of the escrow.</w:t>
      </w:r>
    </w:p>
    <w:p>
      <w:r>
        <w:t>3. Warranties, Disclosure and Liability. The Seller shall deliver proposed disclosure schedules and the identified financial statements, together with supporting cash, debt, transaction-expense and working-capital information, sufficiently before signing to permit reasonable review. The financial-statement schedule shall expressly identify each statement, its date and period, audited or unaudited status, and applicable accounting standards; those particulars must be agreed before signing. The Seller shall warrant its authority and capacity, ownership of and title to the Shares free from encumbrances, the Company's capitalization and absence of undisclosed rights to acquire securities. The definitive agreement shall also contain customary, proportionate business warranties covering financial statements, taxes, material contracts, litigation, legal compliance and undisclosed liabilities, with negotiated materiality and knowledge qualifications appropriate to each warranty. Seller knowledge shall mean the actual knowledge of identified individuals after reasonable inquiry of relevant responsible personnel. Disclosures shall qualify business warranties only where sufficiently specific to identify the nature and scope of the matter disclosed; cross-disclosure shall apply only where relevance is reasonably apparent. A general reference to the data room shall not constitute disclosure. Post-signing updates shall not automatically qualify warranties or cure a breach. The identified financial statements shall fairly present, in all material respects, the Company's financial position and results for the identified dates and periods in accordance with the expressly identified accounting standards, consistently applied. Unaudited statements may omit footnotes and be subject only to normal year-end adjustments that are not material individually or in the aggregate. No warranty is given as to forecasts, projections or other forward-looking information. The Seller proposes indemnification for actual losses caused by warranty or covenant breaches and a customary indemnity for pre-Closing Company taxes, subject to agreed exclusions, procedures and limits. Ordinary business-warranty claims shall survive for 12 months after Closing, be subject to a USD 25,000 per-claim threshold (related claims aggregated), a deductible basket equal to 1% of the base price, and an aggregate cap equal to the 5% escrow, which shall be the sole source of recovery for those claims. Title, capitalization and authority warranties shall survive for six years; tax warranties and the tax indemnity shall survive until 60 days after the applicable statutory limitation period. Fundamental and tax claims shall not be subject to the ordinary basket or escrow-only remedy; aggregate Seller liability for all claims shall not exceed the final equity purchase price. Covenants shall survive for their stated duration, with claim periods to be agreed before signing. Timely notified claims shall survive until resolved. Recoveries shall be reduced by insurance proceeds and third-party recoveries actually received, net of reasonable recovery costs, and by realized tax benefits attributable to the loss; there shall be no double recovery, including for matters reflected in price adjustments. The Buyer shall reasonably mitigate losses. Punitive damages shall be excluded except where payable to a third party. Agreed procedures shall address notice, defense of third-party claims and settlement consent, without forfeiture for delayed notice except to the extent of material prejudice. Following Closing, the agreed indemnities shall be the exclusive monetary remedies for covered matters, without restricting price adjustments, payment obligations, specific performance or claims for the Seller's own fraud. No contractual limitation shall exclude liability that cannot lawfully be limited.</w:t>
      </w:r>
    </w:p>
    <w:p>
      <w:r>
        <w:t>4. Confidentiality. Each party shall keep confidential the terms of this Agreement, the negotiations relating to it and confidential information received in connection with the transaction, except for disclosures required by law or regulation or made to its professional advisers, financing sources or representatives who need to know and are bound by confidentiality obligations or professional duties of confidentiality. Each party shall be responsible for its recipients' compliance with these obligations as if their acts and omissions were its own. These obligations shall not apply to information demonstrably public other than through a breach, already lawfully held without restriction, independently developed, or lawfully received from a third party without a duty of confidentiality. To the extent legally permitted, a party making a legally required disclosure shall give the other party prior notice, consult on its timing and content, and reasonably cooperate to limit the disclosure. Neither party shall make a public announcement concerning the transaction without the other's prior written consent, except as required by law or regulation; in that case, to the extent legally permitted and reasonably practicable, the parties shall coordinate the announcement's timing and content beforehand. Confidentiality obligations shall survive termination for two years, and protection of trade secrets shall continue for so long as they remain trade secrets.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