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proposed enterprise value for the Company is USD 40,000,000, on a cash-free, debt-free basis with normalized working capital. The purchase price for the Shares shall equal that amount plus Closing Cash, less Closing Debt and unpaid Company transaction expenses, and plus or minus the amount by which Closing Working Capital exceeds or falls below the agreed normalized working-capital target. Definitions, exclusions, the target and an accounting-policy hierarchy shall be agreed in a schedule before signing, based on diligence and the Company's historical operating cycle. No item shall be counted more than once or recovered through both an adjustment and an indemnity. The Seller shall deliver an estimated closing statement at least five Business Days before Closing. At Closing the Buyer shall pay the estimated purchase price by wire transfer of immediately available funds to the Seller's designated account, less the agreed escrow deposit paid simultaneously to the escrow agent. The Buyer shall deliver a final closing statement within 60 days after Closing; the Seller shall have 30 days to review and object, with reasonable access to supporting records and personnel. Unresolved accounting disputes shall, after 20 days of good-faith discussion, be determined by an independent accountant jointly appointed as an expert, limited to disputed items and the parties' respective positions. Final adjustment amounts shall be paid within five Business Days after determination. Neither party may withhold Closing funds for an asserted claim; following Closing, set-off is permitted only for amounts agreed in writing or finally adjudicated and only to the extent consistent with the agreed indemnity and escrow limitations. This provision does not restrict expressly agreed adjustment rights or claims for fraud.</w:t>
      </w:r>
    </w:p>
    <w:p>
      <w:r>
        <w:t>2. Closing. The parties shall agree a signing timetable following completion of the Buyer's diligence and financing arrangements. Following signing, Closing shall occur on the fifth Business Day after satisfaction or waiver of the applicable closing conditions, or on another date agreed in writing. Mutual conditions shall be receipt of legally required approvals and absence of any legal prohibition on Closing. The Buyer's conditions shall additionally be: accuracy of the Seller's fundamental representations in all material respects and of its other representations except for inaccuracies that, taken together, would constitute a Material Adverse Effect, in each case at signing and Closing or the expressly specified date; material compliance with the Seller's pre-Closing covenants; absence of a Material Adverse Effect; and tender of unencumbered title to the Shares and the agreed closing documents. Material Adverse Effect means a material adverse effect on the business, assets or financial condition of the Company taken as a whole, excluding general economic, market, industry, legal and political changes, except to the extent disproportionately affecting the Company relative to comparable businesses, and effects of announcement of the transaction or actions requested by the Buyer. The Seller's conditions shall include material accuracy of the Buyer's authority and enforceability representations, material compliance with its covenants and tender of the Closing payment and agreed documents. Diligence satisfaction and financing shall not be post-signing conditions; the Buyer shall have committed funding at signing and shall represent that it will have sufficient funds at Closing. Transfer and payment shall be simultaneous. Either party may terminate if Closing has not occurred within 90 days after signing, unless its own material breach caused the failure to close, or if a final, non-appealable legal prohibition prevents Closing. Either party may also terminate for the other's breach that would cause a closing condition to fail and remains uncured for 20 Business Days after written notice, or is incapable of cure by the outside date, provided the terminating party is not itself in material breach. Termination shall not release liability for prior breach or fraud, and confidentiality shall survive.</w:t>
      </w:r>
    </w:p>
    <w:p>
      <w:r>
        <w:t>3. Representations and Recourse. The definitive agreement shall contain Seller representations concerning due organization, authority and enforceability; ownership of and unencumbered title to the Shares; capitalization and absence of undisclosed rights to acquire securities; financial statements; material undisclosed liabilities; taxes; material contracts; litigation; legal compliance; and employees and benefits. The detailed scope, materiality and knowledge qualifications shall be agreed following diligence. Only exceptions fairly disclosed in the disclosure schedule expressly identified and delivered with the signed agreement shall qualify representations. Each exception must identify its nature and scope in sufficient detail and the representation qualified; cross-qualification is permitted only where relevance to another representation is reasonably apparent on the face of the disclosure. General data-room disclosure shall not qualify representations. The financial statements shall fairly present, in all material respects, the Company's financial position and results in accordance with the accounting framework specifically agreed before signing and consistently applied. Any unaudited-statement qualification shall be limited to absence of notes and normal year-end adjustments that are not material individually or in aggregate; any known material adjustment shall be specifically scheduled. No warranty is given regarding projections, forecasts or other forward-looking information, but this disclaimer shall neither qualify historical-fact representations nor exclude or limit liability for fraud. As a proposed recourse framework, general representations shall survive for 18 months after Closing, with a deductible basket of 1% of the base enterprise value and an aggregate cap of 10% of that value. Claims concerning authority, title and capitalization shall survive for six years and be capped at the purchase price actually paid; tax claims shall survive until 60 days after expiry of the applicable statutory limitation period and be capped at the purchase price actually paid. Timely notified claims describing their factual basis in reasonable detail shall survive until resolved. An escrow of 5% of the base enterprise value shall be funded from the purchase price at Closing for 18 months, with release thereafter except for amounts reasonably reserved for timely notified unresolved claims. Escrow shall be the first source of recovery for general representation claims, without increasing the applicable cap. The definitive agreement shall include mitigation, no-double-recovery, actual insurance-recovery offsets, third-party claim procedures and specific treatment of identified diligence risks. The negotiated indemnity regime shall be the exclusive monetary remedy for representation breaches, without limiting purchase-price adjustments, agreed covenant remedies, equitable relief or fraud remedies. No contractual cap, basket or survival limitation shall apply to fraud.</w:t>
      </w:r>
    </w:p>
    <w:p>
      <w:r>
        <w:t>4. Confidentiality. Each party shall keep confidential the terms of this Agreement, the negotiations and confidential information received in connection with the transaction. Disclosure is permitted on a need-to-know basis to relevant affiliates, investment decision-makers, professional advisers and prospective financing sources and their advisers, provided they are bound by confidentiality duties at least as protective as those applicable to the disclosing party or equivalent professional duties. Each party shall be responsible for breaches by recipients to whom it discloses information, except where such recipient is directly bound to the other party by an enforceable confidentiality undertaking. Disclosure required by law, regulation, stock-exchange rule or competent authority is permitted, provided that, where lawful, the disclosing party gives advance notice, reasonably cooperates to seek protective treatment and limits disclosure to what is required. Neither party shall make a public announcement without the other's prior written consent, except where legally required, in which case the same notice and cooperation requirements apply. These provisions supplement and do not diminish or supersede protections under any existing NDA; any more protective applicable NDA provision shall continue to govern.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