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against transfer of the Shares. Payment shall be made without set-off or counterclaim, and without deduction or withholding except as required by applicable law.</w:t>
      </w:r>
    </w:p>
    <w:p>
      <w:r>
        <w:t>2. Closing. Closing shall occur on a date agreed by the parties no later than 30 days after signing, subject to receipt of any legally required regulatory approvals, or on such other date as the parties agree in writing. Each party shall use reasonable best efforts to obtain those approvals promptly. The Buyer's obligation to complete the purchase shall not be conditional upon obtaining financing.</w:t>
      </w:r>
    </w:p>
    <w:p>
      <w:r>
        <w:t>3. Representations. Except as fairly disclosed in the disclosure schedule delivered by the Seller at signing, the Seller represents that the Company's financial statements delivered to the Buyer before signing fairly present, in all material respects, the Company's financial position and results of operations as of the dates and for the periods covered, in accordance with the accounting policies stated therein, consistently applied. Unaudited financial statements are subject to normal year-end adjustments and the absence of footnotes.</w:t>
      </w:r>
    </w:p>
    <w:p>
      <w:r>
        <w:t>4. Confidentiality. Each party shall keep confidential the terms of this Agreement and the negotiations relating to it, except for disclosure to its professional advisers and financing sources who are bound by confidentiality obligations, or as required by applicable law, regulation or legal process. A party making a required disclosure shall, to the extent legally permitted, give the other party advance notice and disclose only what is required. No public announcement concerning the transaction shall be made without the other party's prior written consent, except as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