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and Completion Accounts. The proposed enterprise value is USD 40,000,000 on a cash-free, debt-free basis with normalized working capital. The purchase price for all issued Shares shall equal that amount, plus Closing Cash, minus Closing Debt and unpaid Seller Transaction Expenses, plus or minus the amount by which Closing Working Capital exceeds or falls below the Target Working Capital. These economics remain subject to client approval and agreement of the definitions schedule before signing.</w:t>
        <w:br/>
        <w:t>Closing Cash means unrestricted cash and cash equivalents beneficially owned by the Company and freely available at Closing, excluding restricted cash and taking account of outstanding payments consistently with the agreed accounting principles. Closing Debt means outstanding borrowings, accrued interest, repayment premiums and finance-lease liabilities, together with only those additional debt-like items expressly listed in the definitions schedule. Seller Transaction Expenses means unpaid third-party transaction fees and transaction bonuses payable by the Company in connection with this sale, including related employer payroll taxes, but excludes Buyer financing and integration costs. Closing Working Capital means the agreed operating current assets less agreed operating current liabilities, excluding Cash, Debt, Seller Transaction Expenses, income-tax balances and other expressly excluded items. No item shall be counted more than once, whether in the adjustment or an indemnity claim. The definitions schedule shall specify all included and excluded accounts, debt-like items and a numerical Target Working Capital based on the trailing twelve-month average, adjusted for agreed seasonality and nonrecurring items.</w:t>
        <w:br/>
        <w:t>The definitions schedule shall include a worked example and specific accounting policies, which shall prevail over consistent historical practices and, thereafter, US GAAP. Completion accounts shall exclude purchase accounting, Buyer financing and changes attributable to post-Closing acts. At least five business days before Closing, the Seller shall deliver a good-faith estimated completion statement with supporting calculations. Closing payment shall use that estimate, without prejudice to final adjustment. The Buyer shall deliver its completion accounts within 60 days after Closing; otherwise the estimate becomes final. The Seller shall have 30 days to review and object, with reasonable access to relevant records and personnel. Undisputed items become final. Unresolved accounting items after 20 business days of consultation shall be referred to an independent accounting firm jointly appointed by the parties, acting as expert and confined to the disputed items and the parties' respective positions. Its determination shall be binding absent manifest error, and its costs allocated by relative success. Any final adjustment shall be paid within five business days.</w:t>
        <w:br/>
        <w:t>At Closing, the Buyer shall pay the estimated purchase price less the agreed indemnity escrow by wire transfer of immediately available funds to the Seller's designated account, with instructions verified by callback using independently confirmed contact details. The Seller shall transfer good title to the Shares free of encumbrances, other than restrictions imposed by applicable securities laws. Payment shall be without set-off or counterclaim, except for the expressly agreed adjustment and escrow mechanisms. Legally required withholding is permitted without automatic gross-up; the Buyer shall give reasonable advance notice where lawful, cooperate in obtaining available relief, remit withheld amounts promptly and provide evidence of remittance. Amounts properly withheld and remitted shall be treated as paid to the Seller.</w:t>
      </w:r>
    </w:p>
    <w:p>
      <w:r>
        <w:t>2. Closing; Conditions; Termination. The parties shall target Closing within 30 days after signing. Closing shall occur within five business days after satisfaction or waiver of the conditions, other than those satisfied at Closing, or on another agreed date. Mutual conditions are receipt of the regulatory approvals expressly identified at signing and absence of any legal prohibition. The Buyer's conditions are performance by the Seller of its pre-Closing covenants in all material respects, accuracy of the fundamental representations in all material respects at Closing, accuracy of other representations except for inaccuracies that, taken together, would constitute a Material Adverse Effect, and delivery of the Seller's closing deliverables. Representations made as of a specified date are tested as of that date. The Seller's conditions are accuracy of the Buyer's authority representations in all material respects, its material covenant compliance and payment and delivery of its closing deliverables. No condition shall duplicate an existing materiality qualification. Diligence and internal client approvals must be completed before signing and are not post-signing conditions. The Buyer's obligation to close shall not be conditional on obtaining financing; this remains the Seller's proposal pending confirmation of the Buyer's funding arrangements.</w:t>
        <w:br/>
        <w:t>Each party shall use reasonable best efforts to obtain the agreed approvals and satisfy its conditions, without requiring the Seller to accept divestitures, payments or continuing obligations not expressly agreed at signing. The outside date shall be 90 days after signing, extended once by 30 days at either party's written election if only a required regulatory approval and conditions to be satisfied at Closing remain outstanding. Either party may terminate by notice if Closing has not occurred by the outside date, unless its material breach caused the failure; upon a final nonappealable legal prohibition; or for the other's material breach that would cause a closing condition to fail and is not cured within 20 business days after notice, or by the outside date if earlier. The parties may terminate by mutual written agreement. Termination ends prospective obligations but preserves confidentiality, accrued claims for prior willful breach and fraud, and the dispute-resolution provisions. Neither party may rely on a condition failure it materially caused. Either party may seek specific performance where available under applicable law, without double recovery.</w:t>
        <w:br/>
        <w:t>Seller deliverables shall include executed share transfers and certificates or equivalent evidence of ownership, evidence of release of share encumbrances and agreed payoff arrangements, corporate approvals, agreed officer and director resignations effective at Closing, statutory share records, the executed escrow agreement and a condition-compliance certificate. Buyer deliverables shall include payment, escrow funding, corporate approvals, the executed escrow agreement and its condition-compliance certificate. Third-party consents that are closing conditions must be specifically identified before signing.</w:t>
      </w:r>
    </w:p>
    <w:p>
      <w:r>
        <w:t>3. Representations; Interim Conduct; Indemnification. The following proposed allocation remains subject to verification, agreed schedules and definitive drafting before signing. The Seller shall represent its authority, due authorization and enforceability; its ownership of and good title to the Shares; and the Company's organization, capitalization and absence of undisclosed rights to acquire securities. The Seller shall also represent, subject to the agreed materiality, knowledge and temporal qualifications, that material tax returns have been filed and material taxes paid or adequately provided for; identified material contracts are valid and neither the Company nor, to the Seller's knowledge, its counterparties are in material default; there is no material litigation pending or, to the Seller's knowledge, threatened in writing; the Company complies in all material respects with applicable laws and holds necessary material permits; and it has no material liabilities required to be reflected under US GAAP except those reflected or reserved in the financial statements, disclosed in the schedules or incurred in the ordinary course since the latest balance-sheet date. Since that date, there shall have been no Material Adverse Effect and no material departure from ordinary-course operations except as specifically disclosed. Seller's knowledge means actual knowledge of the officers identified at signing after reasonable inquiry of their direct reports responsible for the relevant subject.</w:t>
        <w:br/>
        <w:t>The financial statements identified in the signing schedule shall fairly present, in all material respects, the Company's financial position and results of operations in accordance with US GAAP consistently applied. Unaudited statements may omit footnotes and be subject only to normal year-end adjustments that are not material individually or in the aggregate. The accounting framework must be confirmed before signing. Disclosure exceptions must identify their nature and scope with sufficient specificity to permit a reasonable buyer to understand them; cross-disclosure applies only where relevance to another representation is reasonably apparent. Mere data-room availability is not disclosure. No schedules or financial statements are deemed delivered by this draft.</w:t>
        <w:br/>
        <w:t>Material Adverse Effect means a material adverse effect on the business, financial condition or results of the Company taken as a whole, excluding general economic, industry, market, legal or accounting changes, war, pandemics and natural disasters, except to the extent disproportionately affecting the Company relative to comparable businesses. Transaction announcement effects and failure to meet projections are excluded, although underlying causes of a projection shortfall may be considered if otherwise within the definition.</w:t>
        <w:br/>
        <w:t>Between signing and Closing, the Seller shall cause the Company to operate in the ordinary course in all material respects and use commercially reasonable efforts to preserve its business. Except as scheduled, required by law or expressly permitted by this Agreement, the Company shall not issue securities, make distributions, incur material non-ordinary-course debt, dispose of material assets, enter into or terminate material non-ordinary-course contracts, materially increase executive compensation or change material accounting or tax practices without the Buyer's consent, not to be unreasonably withheld, conditioned or delayed. Ordinary-course thresholds and permitted actions shall be scheduled before signing. The Buyer shall receive reasonable access on notice during business hours, subject to confidentiality, privilege, data-protection and competition-law safeguards and no unreasonable disruption. No contact with employees, customers or suppliers may occur without the Seller's prior consent. Access does not confer operational control before Closing.</w:t>
        <w:br/>
        <w:t>General business representations shall survive for 12 months after Closing. Title, authority and capitalization representations shall survive for three years; tax representations and the indemnity for Company taxes attributable to pre-Closing periods shall survive until 60 days after the applicable limitation period expires. Covenants survive for their stated term, with claims for breach permitted for 12 months thereafter. Timely written claims specifying the basis and reasonably estimated amount, to the extent then ascertainable, survive until resolved.</w:t>
        <w:br/>
        <w:t>The Seller shall indemnify the Buyer for actual losses resulting from breaches of Seller representations and covenants and for Company taxes attributable to pre-Closing periods, excluding amounts accounted for in the price. General representation claims shall be subject to a USD 40,000 per-claim threshold, a USD 400,000 aggregate deductible basket and a USD 4,000,000 aggregate cap. Fundamental and tax claims are not subject to that threshold or basket. Aggregate Seller liability for all claims other than fraud shall not exceed the final purchase price actually paid. No materiality scrape applies. The Buyer shall indemnify the Seller for breaches of the Buyer's representations and covenants, subject to an aggregate cap equal to the final purchase price, except for fraud or unpaid purchase-price obligations.</w:t>
        <w:br/>
        <w:t>At Closing, USD 2,000,000 of the purchase price shall be deposited with a mutually agreed independent escrow agent for 12 months as the sole source of recovery for general representation claims, except fraud. The balance shall then be released to the Seller, less reasonable reserves for timely notified unresolved claims; each reserve shall be released promptly upon resolution. Other claims remain subject to the applicable caps. Escrow fees shall be shared equally, and distributions shall require joint instructions or a final binding determination. The escrow agreement shall be agreed before signing.</w:t>
        <w:br/>
        <w:t>Indemnification shall require reasonable mitigation, deduction of insurance proceeds and tax benefits actually realized net of recovery costs, and no duplicate recovery. Punitive damages and losses based solely on valuation multiples are excluded, except damages payable to a third party. The indemnifying party may control third-party monetary claims with appropriate counsel, subject to reasonable conflict protections; no settlement may impose an admission, nonmonetary obligation or unreimbursed liability on the indemnified party without its consent. Delayed notice relieves liability only to the extent of material prejudice. Post-Closing indemnification is the exclusive monetary remedy for covered breaches, without limiting purchase-price adjustments, equitable relief or claims for actual intentional fraud by the party against whom the claim is brought. Nothing excludes or limits liability for fraud that cannot lawfully be excluded or limited.</w:t>
      </w:r>
    </w:p>
    <w:p>
      <w:r>
        <w:t>4. Confidentiality. Each party shall keep confidential this Agreement, the negotiations and nonpublic information received concerning the transaction or the other party. Disclosure is permitted on a need-to-know basis to relevant affiliates, directors, officers, employees, investment committees, prospective financing sources and participants, and their professional advisers, provided recipients are subject to professional duties or contractual confidentiality obligations no less protective in substance than this provision. Each party shall be responsible for breaches by its permitted recipients. Information may be used only to evaluate, finance or implement the transaction. These restrictions do not apply to information lawfully public without breach, independently developed, or lawfully received from an unrestricted third party. Disclosure required by law, regulation or legal process is permitted, provided the disclosing party, where lawful and practicable, gives advance notice, consults on timing and content, reasonably cooperates in seeking confidential treatment and discloses only what is required. No public announcement may be made without the other party's prior written consent, except as legally required, subject to the same consultation safeguards. This provision survives termination for two years, and protection of trade secrets continues for so long as they remain trade secrets under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