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without set-off or counterclaim.</w:t>
      </w:r>
    </w:p>
    <w:p>
      <w:r>
        <w:t>2. Closing. Closing shall occur within 30 days of signing.</w:t>
      </w:r>
    </w:p>
    <w:p>
      <w:r>
        <w:t>3. Representations. Except as disclosed in writing to the Buyer before signing, the Seller represents that the financial statements delivered to the Buyer fairly present, in all material respects, the Company's financial position and results of operations as of the dates and for the periods to which they relate, in accordance with the accounting policies described therein.</w:t>
      </w:r>
    </w:p>
    <w:p>
      <w:r>
        <w:t>4. Confidentiality. Each party shall keep the terms of this Agreement confidential, except for disclosures required by applicable law or regulation or disclosures to its professional advisers and financing sources who need to know such information and are subject to confidentiality obligations. To the extent legally permitted, a party required to disclose shall give the other party reasonable advance notice and limit disclosure to the information required. Neither party shall make a public announcement concerning this Agreement without the other party's prior written consent,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