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39,000,000 for the Shares at Closing by wire transfer of immediately available funds to an account designated by the Seller.</w:t>
      </w:r>
      <w:commentRangeEnd w:id="0"/>
      <w:r>
        <w:rPr>
          <w:rStyle w:val="CommentReference"/>
        </w:rPr>
        <w:commentReference w:id="0"/>
      </w:r>
    </w:p>
    <w:p>
      <w:commentRangeStart w:id="1"/>
      <w:r>
        <w:t>2. Closing. The parties shall target Closing within 30 days after signing. Closing shall occur on the third Business Day following satisfaction or, to the extent legally permissible, waiver by the party entitled to the benefit thereof of the closing conditions expressly set out in this Agreement, including the necessary approvals specifically identified therein, other than conditions that by their nature are to be satisfied at Closing, which shall remain subject to satisfaction or such waiver at Closing, or on another date agreed in writing. Each party shall use reasonable endeavours to satisfy the conditions for which it is responsible promptly. The outside date shall be [date to be agreed before signing]. If Closing has not occurred by that date, either party may terminate this Agreement by written notice, provided that a party whose breach materially caused the failure to close may not exercise that right. Termination shall not affect accrued rights or the continuing confidentiality obligations.</w:t>
      </w:r>
      <w:commentRangeEnd w:id="1"/>
      <w:r>
        <w:rPr>
          <w:rStyle w:val="CommentReference"/>
        </w:rPr>
        <w:commentReference w:id="1"/>
      </w:r>
    </w:p>
    <w:p>
      <w:r>
        <w:t>3. Representations. Except for matters specifically identified in the financial-statements section of the disclosure schedule agreed by the parties at signing, with sufficient detail to identify the nature and scope of each exception, the Seller represents at signing and again at Closing that the Company's financial statements identified in that schedule and delivered to the Buyer comply, in all material respects, with [identified accounting standards to be agreed before signing], consistently applied, and fairly present, in all material respects, the Company's financial position and results of operations as of the dates and for the periods to which they relate. The repetition of this representation at Closing shall relate to those same financial statements and their respective dates and periods. No other disclosure, including general data-room disclosure, shall qualify this representation, and no subsequent disclosure shall qualify it without the Buyer's written agreement.</w:t>
      </w:r>
    </w:p>
    <w:p>
      <w:r>
        <w:t>4. Confidentiality. Each party shall keep the terms of this Agreement confidential, except for disclosures required by applicable law or regulation or disclosures to its professional advisers and financing sources who need to know such information for the transaction. Before any disclosure to such permitted recipients, the disclosing party shall ensure that they are bound by enforceable confidentiality obligations no less protective than this clause or, in the case of professional advisers, applicable professional duties of confidentiality. Each party shall be responsible for breaches of this clause by its permitted recipients as if those breaches were its own. To the extent legally permitted, a party required to disclose shall give the other party reasonable advance notice and limit disclosure to the information required. Neither party shall make a public announcement concerning this Agreement without the other party's prior written consent, except as required by applicable law or regulation. This clause shall survive termination of this Agreement.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3:51Z">
    <w:p>
      <w:pPr>
        <w:pStyle w:val="CommentText"/>
      </w:pPr>
      <w:r>
        <w:rPr>
          <w:rStyle w:val="CommentReference"/>
        </w:rPr>
        <w:annotationRef/>
      </w:r>
      <w:r>
        <w:t>Seller's counterproposal, subject to Seller approval and definitive documentation. Deletion of the blanket set-off and counterclaim prohibition does not establish any contractual withholding, set-off or escrow right. Indemnification, any escrow, liability caps, survival periods and claims procedures remain to be negotiated as a package.</w:t>
      </w:r>
    </w:p>
  </w:comment>
  <w:comment w:id="1" w:author="Drafting Associate" w:initials="DA" w:date="2026-10-26T13:43:51Z">
    <w:p>
      <w:pPr>
        <w:pStyle w:val="CommentText"/>
      </w:pPr>
      <w:r>
        <w:rPr>
          <w:rStyle w:val="CommentReference"/>
        </w:rPr>
        <w:annotationRef/>
      </w:r>
      <w:r>
        <w:t>The necessary approvals, other closing conditions and outside date must be agreed before signing. Seller proposes that Buyer complete satisfactory diligence and obtain its internal transaction approval before signing; no general subjective diligence or Buyer-approval condition is agreed for the post-signing period.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