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 The Buyer's payment obligation shall not be subject to any financing condition.</w:t>
      </w:r>
    </w:p>
    <w:p>
      <w:r>
        <w:t>2. Closing. Closing shall occur within 30 days of signing, on a date agreed by the parties, subject to receipt of any legally required regulatory approvals and the absence of any applicable legal prohibition. At Closing, payment of the Purchase Price and delivery of duly executed instruments transferring the Shares shall occur simultaneously.</w:t>
      </w:r>
    </w:p>
    <w:p>
      <w:r>
        <w:t>3. Representations. Except as disclosed in a disclosure schedule delivered by the Seller at signing, the Seller represents that the financial statements delivered to the Buyer and identified in that schedule fairly present, in all material respects, the financial position and results of operations of the Company as of their respective dates and for their respective periods, in accordance with the accounting principles identified therein, consistently applied. Unaudited financial statements are subject to normal year-end adjustments and the absence of footnotes. No representation is made as to projections, forecasts, or other forward-looking information.</w:t>
      </w:r>
    </w:p>
    <w:p>
      <w:r>
        <w:t>4. Confidentiality. Each party shall keep confidential the terms of this Agreement and non-public information received from the other party in connection with the transaction, and shall use such information solely for purposes of the transaction. Disclosure may be made to representatives who need to know such information and are bound by confidentiality obligations, or as required by law, regulation, or court order. Where legally permitted, the disclosing party shall give the other party prompt advance notice of any required disclosure and reasonably cooperate in seeking confidential treatment. These restrictions do not apply to information that becomes publicly available other than through a breach of a confidentiality obligation. Neither party shall make a public announcement concerning the transaction without the other's prior written consent, except as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