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proposed base purchase price for the Shares is USD 42,000,000 on a cash-free, debt-free basis with normalized working capital. The equity purchase price shall equal that amount, plus Closing cash, less Closing indebtedness and unpaid Company transaction expenses, and increased or decreased by the amount by which Closing working capital exceeds or falls below an agreed normalized working-capital target. Before signing, the parties shall agree definitions, exclusions, accounting policies, the target and an illustrative calculation, with no double counting. Seller shall deliver an estimated Closing statement at least five business days before Closing. Buyer shall deliver its proposed final Closing statement within 60 days after Closing; Seller shall have 30 days to review and object, with reasonable access to supporting records. Unresolved accounting disputes shall be determined by an independent accountant jointly appointed by the parties, acting as expert within the disputed items and amounts. Undisputed adjustments shall be paid promptly and remaining adjustments within five business days after determination. At Closing, Buyer shall pay the estimated equity purchase price by wire transfer of immediately available funds to Seller's designated account, except for the agreed escrow deposit under Section 6. Buyer may not withhold or set off disputed claims; any set-off must concern an amount agreed in writing by Seller or finally determined under the agreed dispute-resolution procedure and remains subject to Section 6, without double recovery. The definitive agreement shall not contain a financing condition, and Buyer shall provide evidence of sufficient committed funds satisfactory to Seller before signing.</w:t>
      </w:r>
    </w:p>
    <w:p>
      <w:r>
        <w:t>2. Closing. The parties shall target Closing within 30 days after signing. Closing shall occur on the third business day after satisfaction or lawful waiver of the agreed conditions, or another agreed date. Conditions shall include required regulatory approvals and specifically scheduled material third-party consents, absence of a legal prohibition, accuracy of each party's fundamental representations in all material respects and other representations except for inaccuracies not constituting a material adverse effect on the Company or materially impairing the relevant party's ability to complete the transaction, material compliance with pre-Closing covenants, and delivery of the agreed Closing documents. Materiality qualifications shall not be duplicated in applying these conditions. Seller shall deliver instruments conveying good title to the Shares free of encumbrances, other than generally applicable securities-law restrictions. Payment, the agreed escrow deposit and transfer of the Shares shall occur simultaneously. Diligence shall be completed before signing and shall not constitute a discretionary Closing condition. Each party shall use reasonable best efforts to satisfy the conditions applicable to it. Either party may terminate if Closing has not occurred within 90 days after signing, but not if its material breach caused the failure to close; the parties may extend that date by written agreement. Either party may also terminate for a final, nonappealable legal prohibition or the other party's material breach that prevents satisfaction of a Closing condition and remains uncured for 20 business days after written notice, or is incapable of cure before the outside date. Termination shall not affect accrued rights for prior breach, and confidentiality shall survive.</w:t>
      </w:r>
    </w:p>
    <w:p>
      <w:r>
        <w:t>3. Representations. Seller shall provide the proposed disclosure schedule, identified financial statements and capitalization details sufficiently before signing to permit reasonable Buyer review. The definitive agreement shall identify the applicable accounting framework expressly; that framework and the financial statement dates remain to be agreed following review. Subject to disclosures fairly identifying the nature and scope of the relevant matter, Seller shall represent that the identified financial statements fairly present, in all material respects, the Company's financial position and results for the periods covered in accordance with the agreed accounting framework, consistently applied. Unaudited statements may be qualified only for the absence of footnotes and normal recurring year-end adjustments not material individually or in the aggregate. The definitive agreement shall contain customary Seller representations concerning authority and enforceability, ownership of and good title to the Shares, capitalization, liabilities required to be reflected or reserved under the agreed accounting framework, taxes, material contracts, litigation, legal compliance and employees. Business representations shall have specifically negotiated materiality, knowledge, monetary and time limitations; knowledge shall mean actual knowledge of identified officers after reasonable inquiry of their direct reports responsible for the relevant matter. Authority, title and capitalization representations shall not be knowledge-qualified. Buyer shall provide customary representations concerning authority, enforceability, absence of conflicts and sufficient funds at Closing. No representation is made that projections or forecasts will be achieved. Nothing in that disclaimer limits liability for fraud or misrepresentation of underlying historical facts.</w:t>
      </w:r>
    </w:p>
    <w:p>
      <w:r>
        <w:t>4. Confidentiality. Each party shall keep confidential the terms of this Agreement and non-public information received from the other party in connection with the transaction and use that information solely to evaluate, finance or implement the transaction. Disclosure may be made on a need-to-know basis to advisers, representatives and prospective financing sources bound by contractual or professional confidentiality obligations no less protective in substance than this Section. Each party shall be responsible for breaches by its recipients. Disclosure may also be made as required by law, regulation or court order; where legally permitted, the disclosing party shall give prompt advance notice and reasonably cooperate in seeking confidential treatment. These restrictions do not apply to information the recipient can demonstrate is publicly available other than through breach, was already lawfully known without confidentiality restrictions, was independently developed without use of confidential information, or was lawfully obtained from a third party not under a confidentiality duty concerning that information. Neither party shall make a public announcement without the other's prior written consent, except as legally required.</w:t>
        <w:br/>
        <w:br/>
        <w:t>5. Interim Protections and Access. From signing until Closing or termination, Seller shall cause the Company to operate in the ordinary course consistent with past practice and use commercially reasonable efforts to preserve its business. Except as disclosed and expressly permitted in the definitive agreement, required by law or approved by Buyer, the Company shall not issue securities, make distributions, incur material indebtedness outside the ordinary course, dispose of material assets, materially amend material contracts or enter material related-party transactions. Buyer consent shall not be unreasonably withheld, conditioned or delayed. Seller shall provide reasonable access during normal business hours on reasonable notice to relevant records and personnel, subject to confidentiality, privilege, applicable law and non-disruption safeguards, and shall use reasonable efforts to provide alternative disclosure where a restriction applies. Unpermitted payments or transfers of value to Seller or its affiliates shall be reimbursed dollar-for-dollar, without duplication of price adjustments or other recovery. Buyer shall not exercise operational control before Closing.</w:t>
        <w:br/>
        <w:br/>
        <w:t>6. Remedies. The proposed indemnification framework shall cover breaches of representations and covenants, subject to agreed claims procedures and exclusions for matters fairly disclosed. General representations shall survive Closing for 18 months; fundamental representations concerning authority, title and capitalization shall survive for six years, and tax representations until 60 days after expiry of the applicable statutory limitation period. Covenants shall survive for their stated performance periods, with claims permitted for 12 months thereafter. Claims notified in reasonable detail within the applicable period shall survive until resolved. General representation claims shall be subject to a deductible basket of 0.5% and an aggregate cap of 10% of the final equity purchase price. Fundamental and tax claims and covenant breaches shall be outside that basket and general cap but, together with other claims against Seller, shall not exceed the final equity purchase price. No contractual limitation shall protect a party against liability for its own fraud. Five percent of the estimated equity purchase price shall be deposited at Closing with an independent escrow agent as security for Seller indemnification obligations and released after 18 months, less reasonable reserves for timely notified unresolved claims; escrow recoveries count toward the applicable caps and shall be the first source of recovery while funds remain available. Losses shall be subject to reasonable mitigation, net of insurance proceeds and tax benefits actually realized, without double recovery, and shall exclude punitive damages except amounts payable to third parties. The definitive agreement shall provide notice, defense and settlement procedures protecting both parties. Following Closing, indemnification shall be the exclusive monetary remedy for contractual breaches, except for the price-adjustment mechanism and fraud; equitable relief shall remain available where legally appropriate. Any additional escrow terms, tax allocation provisions and dispute-resolution arrangements remain subject to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