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in writing by the Seller, without set-off or counterclaim.</w:t>
      </w:r>
    </w:p>
    <w:p>
      <w:r>
        <w:t>2. Closing. Closing shall occur within 30 days of signing, subject to satisfaction or permissible waiver of the closing conditions expressly agreed in this Agreement, or on such other date as the parties agree in writing. Payment of the Purchase Price and transfer of the Shares shall occur concurrently.</w:t>
      </w:r>
    </w:p>
    <w:p>
      <w:r>
        <w:t>3. Representations. Subject to the disclosures in the disclosure schedule agreed by the parties, the Seller represents that the financial statements identified in that schedule fairly present, in all material respects, the financial position and results of operations of the Company as of the dates and for the periods stated, in accordance with the accounting principles identified in those financial statements, consistently applied.</w:t>
      </w:r>
    </w:p>
    <w:p>
      <w:r>
        <w:t>4. Confidentiality. Each party shall keep the terms of this Agreement confidential, except for disclosure to its professional advisers who are subject to confidentiality obligations, disclosure required by applicable law, regulation or legal process, or disclosure approved in writing by the other party. Where legally permitted, a party required to disclose shall give the other party reasonable advance notice and disclose only what is required. Neither party shall make a public announcement concerning the transaction without the other party’s prior written consent, except as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