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Payment. The Seller proposes a purchase price of USD 42,000,000 for the Shares on a cash-free, debt-free basis with normalized working capital, subject to Seller approval, completion of the Buyer's diligence before signing and execution of definitive documentation. The price shall be increased by agreed Closing cash and decreased by agreed Closing debt and unpaid Company transaction expenses, and adjusted upward or downward for Closing working capital against an agreed normalized target. Definitions, the target, accounting policies, an illustrative calculation, an estimated Closing statement and a post-Closing true-up procedure shall be agreed before signing, without double counting. The true-up shall provide reasonable review and objection periods and determination of unresolved accounting items by an independent accountant. At Closing, the Buyer shall pay the estimated adjusted price, less the expressly agreed escrow deposit, by wire transfer of immediately available funds to the Seller's designated account and shall fund the escrow concurrently. Wire instructions and any changes must be independently verified through previously established contact details. Payment and escrow funding shall occur simultaneously with delivery of the Shares free of liens and the agreed transfer documents. No set-off, withholding or counterclaim is permitted except as required by law or expressly provided in the agreed adjustment and escrow mechanisms.</w:t>
      </w:r>
    </w:p>
    <w:p>
      <w:r>
        <w:t>2. Closing and Termination. The parties shall target Closing within 30 days after signing, provided satisfactory diligence is completed before signing and the agreed closing conditions are satisfied or permissibly waived. Diligence shall not constitute a further discretionary condition after signing. Closing conditions shall include required regulatory approvals and identified material third-party consents; the Seller's fundamental representations being true in all material respects and other representations being true except for inaccuracies that would not constitute a Material Adverse Effect, without duplicating materiality qualifications; material compliance with pre-Closing covenants; absence of an injunction or legal prohibition; absence of a Material Adverse Effect as defined in the definitive agreement; and delivery of lien releases, duly executed share-transfer documents and customary closing certificates. The Seller's obligation to close shall also be conditioned on the accuracy in all material respects of the Buyer's representations, its material covenant compliance and concurrent payment and escrow funding. Material Adverse Effect shall exclude general economic, industry, market and legal changes, except for disproportionate effects on the Company relative to comparable businesses. The proposed outside date is 60 days after signing, with a single extension of up to 30 days if only required regulatory approval remains outstanding and the other conditions are satisfied or capable of satisfaction at Closing. Either party may terminate by written notice after the outside date, unless its material breach caused the failure to close, or upon a final nonappealable prohibition. Either party may terminate for the other's material breach that prevents satisfaction of a closing condition and remains uncured for 15 business days after notice or is incapable of cure by the outside date. The parties may also terminate by mutual written consent. Termination shall preserve accrued liability for breach and the confidentiality obligations.</w:t>
      </w:r>
    </w:p>
    <w:p>
      <w:r>
        <w:t>3. Diligence, Representations, Covenants and Indemnification. Before signing, the Seller shall furnish complete financial statements for the agreed periods, available financial information supporting its proposed valuation and a proposed disclosure schedule, with reasonable time for review. The definitive agreement shall identify the financial statements, their audit status and the applicable accounting standards by name, to be confirmed from the Company's records before signing. Subject only to matters fairly disclosed in the agreed disclosure schedule with sufficient detail to identify their nature and scope, the Seller shall represent that those statements fairly present, in all material respects, the Company's financial position and results for the stated periods in accordance with those specified standards, consistently applied, with any permitted interim-statement qualifications expressly identified. Disclosure against one representation shall qualify another only where its relevance is reasonably apparent. The definitive agreement shall contain customary, appropriately scoped Seller representations concerning title to the Shares, authority, capitalization, taxes, undisclosed liabilities, material contracts, litigation, legal compliance, employees and intellectual property, with negotiated materiality, knowledge and time limitations where appropriate. The Buyer shall give customary authority, enforceability and availability-of-funds representations, with no financing condition. Between signing and Closing, the Seller shall cause the Company to operate in the ordinary course and shall not permit dividends, related-party transfers or other leakage, except as expressly scheduled or approved by the Buyer; consent shall not be unreasonably withheld, conditioned or delayed. Amounts recovered as leakage shall not also be recovered through price adjustments or indemnification. As a proposal for definitive documentation, general representation claims shall survive for 12 months after Closing, be subject to a deductible basket of 1% of the base purchase price and an aggregate cap of 10% of that price. An escrow equal to 5% of the base purchase price shall secure general representation claims and be released after 12 months, less reasonable reserves for timely notified, specifically described unresolved claims, with reserves released promptly upon resolution. Fundamental title, authority and capitalization representations shall survive for three years and be capped at the purchase price actually received; tax claims shall survive until 60 days after the applicable limitation period and be capped at that amount. Covenant claims shall survive for the applicable performance period plus 12 months and be subject to the same overall purchase-price cap. These limitations shall not protect a person against its own actual fraud. Indemnification shall otherwise be the exclusive post-Closing remedy, except for agreed price adjustments, enforcement of payment obligations and appropriate equitable relief. Definitive terms shall address claim notices, defense and settlement of third-party claims, mitigation, insurance recoveries and prevention of double recovery. Escrow shall not permit unilateral release of disputed amounts; release shall require joint instructions or a final binding determination.</w:t>
      </w:r>
    </w:p>
    <w:p>
      <w:r>
        <w:t>4. Confidentiality. Each party shall keep confidential the terms of this Agreement and nonpublic information received in connection with the transaction and shall use that information solely to evaluate, finance or complete the transaction. Disclosure is permitted to relevant affiliates, directors, officers, employees, professional advisers, other representatives and prospective financing sources who need to know for that purpose and are bound by confidentiality and restricted-use obligations no less protective than these terms or equivalent professional duties. Each party shall be responsible for compliance by its permitted recipients. Disclosure is also permitted as required by applicable law, regulation or legal process or with the other party's prior written consent. Where legally permitted, a party required to disclose shall give reasonable advance notice, reasonably cooperate in seeking confidential treatment and disclose only what is required. Neither party shall make a public announcement concerning the transaction without the other's prior written consent, except as legally required. These provisions shall supplement, and shall not diminish protections under, any existing confidentiality agreement between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