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agreed adjustments for closing cash, debt, unpaid transaction expenses, and the difference between closing working capital and an agreed normalized working-capital target. The parties shall agree the price basis, definitions, accounting policies, target, and illustrative calculation before execution of definitive documentation, with no double counting. The definitive agreement shall provide for an estimated closing statement, a post-closing true-up, reasonable access to supporting records, objection periods, and resolution of unresolved accounting disputes by an independent accountant acting as an expert.</w:t>
      </w:r>
    </w:p>
    <w:p>
      <w:r>
        <w:t>2. Closing; Conditions; Termination. The parties shall target Closing within 30 days after signing definitive documentation, subject to satisfaction or waiver of agreed closing conditions and a mutually agreed outside date. Buyer’s satisfactory diligence shall be completed before signing unless the parties expressly agree otherwise. Closing conditions shall include required regulatory and material third-party approvals, absence of legal restraints, and accuracy of representations and performance of covenants at agreed materiality standards. The definitive agreement shall permit termination by mutual written consent, for an uncured material breach after an agreed notice and cure period, upon a final legal prohibition, or if Closing has not occurred by the outside date; a party whose breach caused the failure to close may not rely on that failure to terminate. Accrued rights for breach and provisions expressly designated to survive shall be preserved. No financing condition is agreed.</w:t>
      </w:r>
    </w:p>
    <w:p>
      <w:r>
        <w:t>3. Representations; Pre-Closing Covenants; Diligence; Indemnification. The definitive agreement shall contain customary Seller representations concerning title to the Shares, authority, capitalization, financial statements, undisclosed liabilities, taxes, material contracts, litigation, and legal compliance, subject to negotiated scope, disclosure schedules, and appropriate knowledge and materiality qualifications. Buyer shall give customary representations concerning authority, enforceability, and ability to fund Closing. Between signing and Closing, Seller shall cause the business to operate in the ordinary course and preserve its material business relationships, subject to agreed exceptions. Specified material actions outside the ordinary course shall require Buyer’s consent, not to be unreasonably withheld, conditioned, or delayed. Seller shall provide reasonable diligence access and available valuation support and current financial information, on reasonable notice and without undue business disruption, subject to confidentiality, privilege, applicable law, and third-party restrictions; the parties shall cooperate on permissible alternative disclosure arrangements. No contact with employees, customers, or suppliers shall occur without Seller’s prior consent. The definitive agreement shall include indemnification for agreed breaches and specified liabilities, with negotiated survival periods, baskets, caps, claims procedures, mitigation obligations, and protection against double recovery. Any escrow shall have a separately agreed amount, duration, claims process, and release mechanism. Exclusive-remedy provisions and appropriate exceptions for fraud and equitable relief shall be expressly negotiated. No unlimited indemnity or escrow amount is agreed by this draft.</w:t>
      </w:r>
    </w:p>
    <w:p>
      <w:r>
        <w:t>4. Confidentiality; Status of Draft. Subject to any existing confidentiality agreement, transaction terms and nonpublic information exchanged shall be kept confidential and used solely to evaluate, finance, and implement the transaction. Disclosure may be made to advisers and prospective financing sources with a need to know who are bound by professional duties or confidentiality obligations no less protective in substance. Each party shall be responsible for breaches by its recipients, subject to agreed exceptions. Legally required disclosure shall be limited to what is required, with prior notice where lawful and reasonable cooperation in seeking protective treatment. Customary exceptions shall apply to information demonstrably public without breach, already lawfully known, independently developed, or lawfully received from an unrestricted third party. Public announcements require mutual consent unless legally required. This draft is for discussion only and creates no binding obligation to transact or negotiate; all proposed terms remain subject to approval and execution of definitive documentation. Any existing binding confidentiality agreement remains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