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The proposed base purchase price for the Shares is USD 41,000,000. The price payable at Closing shall equal the base price plus Closing Cash, minus Closing Debt and unpaid Company Transaction Expenses, plus the amount by which Closing Working Capital exceeds the Working Capital Target or minus any shortfall. Closing Cash means unrestricted cash and cash equivalents available to the Company; Closing Debt means outstanding borrowed money, accrued interest and repayment charges, together with other debt-like items expressly agreed in the accounting schedule; Company Transaction Expenses means unpaid fees and expenses incurred by the Company in connection with this transaction, including transaction bonuses expressly identified in that schedule. Closing Working Capital means operating current assets less operating current liabilities, excluding cash, debt, transaction expenses and income-tax balances. No item shall be counted more than once. The Working Capital Target shall reflect normalized working capital, taking account of seasonality, and shall be agreed before signing. The parties shall agree before signing a detailed accounting schedule identifying included and excluded accounts, sample calculations and a hierarchy of specific accounting policies, consistent historical practices and the expressly identified accounting framework. No adjustment shall arise solely from Buyer’s purchase accounting or post-Closing changes in accounting policies.</w:t>
        <w:br/>
        <w:t>Seller shall deliver a good-faith estimated closing statement at least five business days before Closing. Buyer shall pay the resulting estimated price at Closing in immediately available funds by wire transfer to Seller’s designated account. Buyer shall deliver its proposed final closing statement within 60 days after Closing, with supporting records and reasonable access for Seller. Seller shall have 30 days to object with reasonable detail; unchallenged items shall become final. If Buyer fails to deliver its statement on time, Seller’s estimate shall become final. The parties shall seek to resolve objections for 20 days and submit remaining accounting disputes to an independent accounting firm jointly appointed, acting as an expert and limited to disputed items and the parties’ submitted positions. Its determination shall be final absent manifest error, and its fees shall be allocated according to the parties’ relative lack of success. Any final balance shall be paid within five business days. No set-off or deduction is permitted except legally required withholding, adjustments expressly provided by this section, and recoveries expressly permitted under the agreed indemnification and escrow provisions; an asserted or disputed claim alone does not authorize withholding or set-off.</w:t>
      </w:r>
    </w:p>
    <w:p>
      <w:r>
        <w:t>2. Closing; Conditions; Termination. The parties shall work in good faith toward Closing within 30 days after signing. Closing shall occur on an agreed date promptly following satisfaction or lawful waiver of the closing conditions, with payment and delivery of instruments transferring the Shares occurring concurrently. Conditions shall include receipt of required regulatory approvals and specified third-party consents, absence of any legal prohibition, accuracy of the parties’ representations at signing and Closing subject to agreed materiality standards, material performance of covenants, and delivery of agreed closing documents, including share-transfer instruments, evidence of discharge of agreed indebtedness and liens, and an executed escrow agreement. Required approvals, consents and deliverables shall be identified before signing. Buyer’s diligence and internal approval must be completed before signing and shall not constitute discretionary post-signing closing conditions; there shall be no financing condition.</w:t>
        <w:br/>
        <w:t>Either party may terminate if Closing has not occurred by the date 60 days after signing, unless that party’s material breach caused the failure to close, or if a final nonappealable legal prohibition prevents Closing. Either party may terminate for the other party’s material breach that would cause a closing condition to fail and remains uncured 15 days after written notice, provided the terminating party is not itself in material breach. The parties may also terminate by mutual written agreement. Termination shall not affect accrued liability for prior breach or the continuing confidentiality obligations. Any extension of the outside date requires written agreement.</w:t>
      </w:r>
    </w:p>
    <w:p>
      <w:r>
        <w:t>3. Representations; Disclosures; Interim Covenants; Indemnification. Before signing, Seller shall deliver a complete disclosure schedule and complete copies of the annual and interim financial statements for periods to be agreed, including applicable notes and audit reports. The definitive agreement shall expressly identify the applicable accounting framework as [TO BE CONFIRMED BEFORE SIGNING] and list the statements and their dates. These matters are open items, not assertions that documents have already been delivered. The parties shall allow a reasonable pre-signing review period.</w:t>
        <w:br/>
        <w:t>Seller shall represent that it has authority to execute and perform the Agreement and owns the Shares free of liens other than restrictions arising under applicable securities laws; that the Shares are validly issued and fully paid; and that the disclosed capitalization accurately identifies outstanding equity, options and other rights to acquire equity. Seller shall also give customary, appropriately qualified representations regarding the Company’s organization and authority, taxes, material contracts, litigation, compliance with applicable law and liabilities required to be reflected under the agreed accounting framework, with customary exceptions for disclosed liabilities and ordinary-course liabilities incurred since the latest balance sheet. Seller shall represent that the identified financial statements fairly present, in all material respects, the Company’s financial position and results in accordance with the expressly agreed framework, consistently applied, subject for identified unaudited statements to normal year-end adjustments and absence of footnotes. Knowledge qualifiers, materiality thresholds and lookback periods shall be expressly agreed before signing. Disclosures shall qualify the representation to which they expressly relate and another representation only where their relevance is reasonably apparent on the face of the disclosure; general access to a data room shall not itself constitute disclosure. Post-signing schedule updates shall not cure a breach or qualify a closing condition without Buyer’s written consent. Buyer shall give customary authority, enforceability, no-conflict and sufficient-funds representations.</w:t>
        <w:br/>
        <w:t>Between signing and Closing, Seller shall cause the Company to operate in the ordinary course, use commercially reasonable efforts to preserve its business, and provide reasonable diligence access subject to confidentiality, privilege and applicable law. Except as disclosed or expressly permitted, Seller shall obtain Buyer’s written consent, not to be unreasonably withheld, conditioned or delayed, before issuing equity, making extraordinary distributions, incurring material non-ordinary-course indebtedness, disposing of material assets, entering or terminating material non-ordinary-course contracts, or making material changes to accounting policies or tax elections. These covenants shall not confer control of the Company on Buyer before Closing.</w:t>
        <w:br/>
        <w:t>Seller’s proposed indemnity package is as follows: Seller shall indemnify Buyer for losses arising from breaches of Seller’s representations and covenants and for agreed pre-Closing Company taxes. General representations shall survive for 18 months after Closing. Claims for breach of general representations shall be subject to a deductible equal to 1% of the base price and an aggregate cap equal to 10% of the base price. Representations concerning Seller’s title, capitalization and authority shall survive for six years and shall not be subject to that deductible or general cap; tax claims shall survive until 60 days after expiration of the applicable statutory limitation period. Pre-Closing covenants shall survive for 18 months; post-Closing covenants shall survive according to their terms. Seller’s aggregate liability under the Agreement shall not exceed the purchase price actually received, except for Seller’s own actual fraud, for which contractual limitations shall not apply to the extent prohibited by applicable law. Covenants and tax claims shall not be subject to the general-representation deductible or cap.</w:t>
        <w:br/>
        <w:t>At Closing, 5% of the base price, forming part of rather than additional to the purchase price, shall be deposited with an independent escrow agent for 18 months. The escrow shall be the first source of recovery for Seller indemnity claims, without reducing the applicable liability caps. Upon expiry, the escrow balance shall be released to Seller, less reasonable amounts reserved for timely, specifically notified unresolved claims; remaining reserves shall be released promptly upon resolution. Escrow disbursements require joint written instructions or a final binding determination. Timely notified claims shall survive until resolved. Claims procedures shall provide prompt written notice, reasonable participation in defense, appropriate control of third-party claims and consent protections against settlements imposing admissions or nonmonetary obligations. Losses shall be subject to reasonable mitigation and reduced by insurance proceeds and tax benefits actually realized, net of associated costs. There shall be no double recovery, including for items reflected in the final purchase-price adjustment. Punitive damages shall be excluded except amounts payable to third parties. After Closing, indemnification shall be the exclusive monetary remedy for matters covered by it, except actual fraud, express price-adjustment rights and enforcement of expressly surviving payment obligations; equitable relief remains available where appropriate. The definitive agreement shall include reciprocal Buyer indemnification for breaches of Buyer’s representations and covenants on appropriately corresponding terms.</w:t>
      </w:r>
    </w:p>
    <w:p>
      <w:r>
        <w:t>4. Confidentiality; Negotiating Status. Each party shall keep confidential the diligence materials, nonpublic information received in connection with the transaction, the existence and content of transaction discussions, and the terms of any agreement. Such information may be used only to evaluate, finance or implement the transaction. Disclosure is permitted to professional advisers, representatives and prospective financing sources with a need to know who are subject to confidentiality obligations or professional duties providing appropriate protection; the disclosing party shall be responsible for compliance by its recipients. These restrictions do not apply to information demonstrably public other than through breach, lawfully known to the recipient without restriction before disclosure, independently developed without use of confidential information, or lawfully obtained from a third party not known to be under a confidentiality duty. Disclosure required by law, regulation or legal process is permitted, provided the recipient, to the extent legally permitted, gives prior notice, reasonably cooperates in seeking protection and limits disclosure to what is legally required. Public announcements require the other party’s prior written consent except where legally required. On termination of discussions, confidential materials shall be returned or destroyed upon request, subject to legally required retention and routine inaccessible backup copies, which remain protected. Any existing confidentiality agreement remains in force unless expressly superseded by an executed agreement.</w:t>
        <w:br/>
        <w:t>This draft is a nonbinding negotiating proposal, subject to client approval, satisfactory completion of diligence and execution of definitive documentation. No provision of this draft itself creates a binding obligation or acceptance of Buyer’s proposal.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