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w:t>
      </w:r>
    </w:p>
    <w:p>
      <w:r>
        <w:t>2. Closing. Closing shall occur within 30 days of signing.</w:t>
      </w:r>
    </w:p>
    <w:p>
      <w:r>
        <w:t>3. Representations. The Seller represents that the financial statements are accurate.</w:t>
      </w:r>
    </w:p>
    <w:p>
      <w:r>
        <w:t>4. Confidentiality. Each party shall keep confidential the terms of this Agreement and the negotiations relating to it, except for disclosures required by applicable law or made to its professional advisers who are subject to confidentiality obligations. Neither party shall make any public announcement concerning the transaction without the other party's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