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br/>
        <w:t>SELLER COUNTERPROPOSAL — SUBJECT TO CONTRACT AND SELLER APPROVAL</w:t>
        <w:br/>
        <w:t>This draft is for negotiation only and does not create a binding obligation. Bracketed matters and referenced schedules require agreement before execution.</w:t>
      </w:r>
    </w:p>
    <w:p>
      <w:r>
        <w:t>1. Purchase Price and Completion Accounts.</w:t>
        <w:br/>
        <w:t>1.1 The Seller proposes an enterprise value of USD 42,000,000 for the business on a cash-free, debt-free basis with normalized working capital. The equity purchase price for all issued Shares shall equal that amount, plus unrestricted cash and cash equivalents, less financial indebtedness, agreed debt-like items and unpaid Company transaction expenses, and plus or minus the amount by which Closing working capital exceeds or falls below an agreed normalized working-capital target. Definitions, the target, illustrative calculations and an exhaustive schedule of agreed debt-like items shall be agreed before signing. No item shall be counted more than once, including under the price adjustment, leakage or indemnity provisions.</w:t>
        <w:br/>
        <w:t>1.2 At least five Business Days before Closing, the Seller shall provide a good-faith estimated completion statement with supporting calculations. At Closing, the Buyer shall pay the estimated equity purchase price by wire transfer of immediately available funds to the Seller's designated account, less the escrow deposit under clause 3.4, which shall be paid to the escrow agent on the Seller's behalf.</w:t>
        <w:br/>
        <w:t>1.3 Within 60 days after Closing, the Buyer shall deliver completion accounts and its proposed final equity purchase price. The Seller shall have 30 days to review and give a reasonably detailed dispute notice; undisputed items shall become final. The parties shall provide reasonable access to relevant records and personnel. Unresolved accounting disputes after 20 Business Days of good-faith discussion shall be referred to an independent accountant jointly appointed, or appointed through an agreed independent appointing body if the parties cannot agree. The accountant shall act as expert, not arbitrator, determine only disputed items within the parties' submitted positions, and apply the agreed accounting policies; its determination shall be binding absent manifest error or fraud. Its costs shall be allocated by reference to relative success. Completion accounts shall follow the specific policies agreed at signing, then the consistently applied policies of the reference accounts, and then the agreed accounting framework; no purchase accounting or changes arising from Buyer's post-Closing decisions shall be included. Any balancing payment shall be made within five Business Days after final determination.</w:t>
        <w:br/>
        <w:t>1.4 No party may withhold or set off a disputed claim against consideration or another payment. Set-off shall be permitted only for amounts admitted in writing by the payee or finally determined by a court or tribunal of competent jurisdiction, subject to the agreed liability limits, escrow-first recovery provisions and prohibition on double recovery.</w:t>
      </w:r>
    </w:p>
    <w:p>
      <w:r>
        <w:t>2. Closing, Conditions and Termination.</w:t>
        <w:br/>
        <w:t>2.1 The parties shall target Closing within 30 days after signing. Closing shall occur within five Business Days after satisfaction or lawful waiver of the agreed conditions, other than conditions to be satisfied at Closing. The proposed outside date is 60 days after signing, extendable by written agreement.</w:t>
        <w:br/>
        <w:t>2.2 Buyer's satisfactory diligence shall be completed before execution of the definitive agreement. Any diligence matter remaining at signing must be identified expressly and converted into an objective, time-limited condition or other agreed protection; there shall be no general post-signing discretionary diligence condition.</w:t>
        <w:br/>
        <w:t>2.3 Closing conditions shall include receipt of specifically scheduled mandatory regulatory approvals and material third-party consents; absence of a legal prohibition; accuracy of fundamental representations in all material respects and other representations except for inaccuracies that, taken together, have a material adverse effect, avoiding duplicative materiality qualifications; performance in all material respects of pre-Closing covenants; absence of a defined material adverse change; and delivery of the agreed Closing documents. Conditions benefiting a party may be waived by that party only where lawful. The approval and consent schedule remains subject to verification and agreement.</w:t>
        <w:br/>
        <w:t>2.4 Material adverse change shall mean a material adverse effect on the business, financial condition or results of the Company, excluding general economic, market, industry and legal changes except to the extent disproportionately affecting the Company relative to comparable businesses. Failure to meet forecasts alone shall not constitute such a change, without excluding independently qualifying underlying causes.</w:t>
        <w:br/>
        <w:t>2.5 Each party shall use reasonable best efforts to obtain required approvals and consents and satisfy its conditions. Neither party shall be required to accept a material divestiture or other material remedy unless specifically agreed. There shall be no financing condition.</w:t>
        <w:br/>
        <w:t>2.6 Either party may terminate if Closing has not occurred by the outside date or a final, nonappealable legal prohibition prevents Closing, but not if its own material breach caused the failure to close. A nonbreaching party may terminate for the other's material breach that prevents satisfaction of a Closing condition and remains uncured for 15 Business Days after notice, or is incapable of cure. Termination shall preserve accrued rights for prior breach and the confidentiality, costs and dispute-resolution provisions.</w:t>
        <w:br/>
        <w:t>2.7 Seller's Closing deliverables shall include duly executed share transfers, share certificates or agreed substitutes, evidence of authority, scheduled approvals and consents, agreed resignations, releases of relevant security interests, Company registers and records, and a conditions certificate. Buyer shall deliver payment, evidence of authority, its conditions certificate and executed escrow documents. The detailed deliverables and mechanics shall be scheduled before signing.</w:t>
      </w:r>
    </w:p>
    <w:p>
      <w:r>
        <w:t>3. Representations, Covenants and Liability.</w:t>
        <w:br/>
        <w:t>3.1 The definitive agreement shall contain negotiated Seller representations concerning title to the Shares free of encumbrances, authority and enforceability, capitalization, financial statements, undisclosed liabilities, tax, material contracts, litigation, legal compliance, employment, intellectual property and material assets. Financial statements shall fairly present the Company's financial position and results in all material respects under the agreed accounting framework, with agreed qualifications for interim accounts. Business representations shall have appropriate materiality and defined actual-knowledge qualifications following reasonable inquiry of named personnel. Representations shall be qualified by a disclosure schedule fairly identifying the nature and scope of disclosed matters; any general data-room disclosure must be expressly agreed. Buyer shall represent its authority, enforceability and availability of funds at Closing. The complete representation language and disclosure schedule must be agreed before signing.</w:t>
        <w:br/>
        <w:t>3.2 From signing to Closing, the Seller shall procure that the Company operates in the ordinary course and preserves its business in all material respects. Without Buyer's consent, not unreasonably withheld, conditioned or delayed, the Company shall not make distributions, issue securities, incur material nonordinary-course debt, dispose of material assets, enter into or amend material nonordinary-course contracts, or materially increase compensation outside ordinary-course or existing contractual requirements. Exceptions shall cover agreed budgets, disclosed commitments, legal requirements and reasonably necessary emergency measures with prompt notice. Buyer shall have reasonable information access without operational control before Closing.</w:t>
        <w:br/>
        <w:t>3.3 No transfer of value to the Seller or its connected persons outside agreed permitted payments shall occur between signing and Closing. Any prohibited leakage shall be reimbursed dollar for dollar, but not to the extent already reflected in the purchase price or otherwise recovered.</w:t>
        <w:br/>
        <w:t>3.4 Seller proposes an escrow equal to 5% of the final equity purchase price, initially funded at 5% of the estimated price and adjusted upon final determination, held by an independent agent for 18 months. General representation claims shall survive for 18 months and be subject to a USD 50,000 per-claim threshold, a deductible aggregate basket of 1% of the final equity purchase price and an aggregate cap of 10%. Fundamental representations shall survive six years and be capped at the final equity purchase price. Tax claims shall survive until 60 days after the applicable statutory assessment period, subject to that same cap. Covenant claims shall survive for the applicable contractual performance period plus 12 months. Timely notified claims describing their basis and estimated amount shall survive until resolved. Escrow releases shall require joint instructions or a final binding determination; at expiry, funds shall be released except for reasonably reserved amounts for timely notified unresolved claims. Buyer shall seek recovery from escrow first where available; escrow is security, not an increase in liability limits.</w:t>
        <w:br/>
        <w:t>3.5 Seller shall indemnify Buyer for proven loss from breaches of Seller's representations and covenants, subject to the agreed limitations. A tax covenant shall cover pre-Closing taxes, with agreed allocation of straddle-period taxes and conduct of tax disputes, excluding taxes already reflected in the price and taxes caused by Buyer's post-Closing actions outside the ordinary course unless legally required. Claim procedures shall require reasonable notice, mitigation, appropriate defense participation and consent to settlements imposing liability or admissions on another party. Recovery shall be reduced by actual insurance recoveries and realized tax benefits, net of associated costs. No double recovery or punitive damages shall be recoverable, except punitive damages payable to a third party. Fundamental, tax and leakage claims shall not be subject to the general basket or threshold. Seller's aggregate contractual liability shall not exceed the final equity purchase price. No limitation shall exclude liability for the liable party's fraud or liability that cannot lawfully be limited. The definitive agreement shall specify exclusive contractual remedies while preserving expressly agreed equitable relief.</w:t>
      </w:r>
    </w:p>
    <w:p>
      <w:r>
        <w:t>4. Confidentiality and General Provisions.</w:t>
        <w:br/>
        <w:t>4.1 Each party shall keep confidential transaction information, the terms of this proposed Agreement and the negotiations, except information lawfully public or independently obtained without breach. Disclosure may be made as required by law, with advance notice where lawful, or on a need-to-know basis to professional advisers, affiliates and bona fide prospective financing sources and their advisers who are bound by confidentiality obligations or professional duties providing substantially equivalent protection. The disclosing party shall be responsible for breaches by its permitted recipients. Sensitive information shall remain subject to agreed data-room, clean-team and personal-data safeguards. No public announcement may be made without the other's prior written consent except as legally required. Any existing confidentiality agreement remains effective pending an express agreement on its relationship with the definitive agreement.</w:t>
        <w:br/>
        <w:t>4.2 Each party shall bear its own transaction costs. Any Company transaction expenses paid through the price adjustment shall not also be charged to the Seller separately. Allocation of transfer taxes shall be agreed before signing.</w:t>
        <w:br/>
        <w:t>4.3 Notices shall be in writing to the addresses and designated email contacts specified in the definitive agreement. Deemed receipt rules, including treatment of non-Business Days and failed electronic delivery, shall be agreed before signing.</w:t>
        <w:br/>
        <w:t>4.4 Governing law and the exclusive court or arbitral forum shall be agreed before signing. Accounting disputes under clause 1.3 shall remain subject to expert determination. The definitive agreement shall include entire-agreement, amendment, assignment, counterparts and severability provisions.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