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full at Closing by wire transfer of immediately available funds to an account designated in writing by the Seller.</w:t>
      </w:r>
    </w:p>
    <w:p>
      <w:r>
        <w:t>2. Closing. Closing shall occur within 30 days of signing.</w:t>
      </w:r>
    </w:p>
    <w:p>
      <w:r>
        <w:t>3. Representations. The Seller represents that the financial statements furnished by the Seller to the Buyer in connection with this Agreement are accurate in all material respects.</w:t>
      </w:r>
    </w:p>
    <w:p>
      <w:r>
        <w:t>4. Confidentiality. Each party shall keep the terms of this Agreement confidential, except for disclosures to its professional advisers who are subject to confidentiality obligations, disclosures required by applicable law or legal process, or disclosures made with the other party’s prior written consent. Where legally permitted, a party required to disclose shall give the other party prompt prior notice and disclose only the information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