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NONBINDING DISCUSSION DRAFT</w:t>
        <w:br/>
        <w:t>Subject to contract and Seller approval. This draft records proposed terms only and creates no obligation to sell, buy or consummate the transaction unless and until definitive documentation is executed. Any existing confidentiality agreement remains unaffected.</w:t>
      </w:r>
    </w:p>
    <w:p>
      <w:r>
        <w:t>1. Purchase Price and Payment. The Seller proposes a base purchase price of USD 45,000,000 for the Shares on a cash-free, debt-free basis with normalized working capital. The Buyer’s USD 35,000,000 counterproposal has not been accepted. The definitive agreement shall specify the treatment of cash, indebtedness, debt-like items and transaction expenses, an agreed normalized working-capital target and accounting policies, and completion-account adjustments without double counting. An estimated Closing payment shall be reconciled against completion accounts through agreed preparation and objection deadlines, mutual access to supporting records and determination of unresolved accounting items by an independent accountant acting as expert. Payment shall be by wire transfer of immediately available funds, subject only to any expressly agreed escrow and legally required withholding. Seller account instructions shall be authenticated before payment; initial instructions and any subsequent changes must be independently verified through a previously established contact using independently verified contact details, and not solely by reply to the communication providing the instructions.</w:t>
      </w:r>
    </w:p>
    <w:p>
      <w:r>
        <w:t>2. Diligence, Closing Conditions and Interim Conduct. The Buyer shall complete its financial, tax, legal and commercial diligence before signing definitive documentation; there shall be no post-signing subjective diligence or financing condition. Closing shall occur promptly following satisfaction or lawful waiver by the party entitled to its benefit of the agreed conditions, with a target of 30 days after signing. The Seller proposes an outside date of 60 days after signing, subject to an expressly agreed extension mechanism for outstanding regulatory approvals. Conditions shall include required regulatory and identified material third-party approvals; release at Closing of encumbrances over the Shares; delivery of customary share-transfer documents, corporate authorizations and payment; accuracy of fundamental warranties in all material respects and of other warranties subject to an agreed material-adverse-effect standard, with appropriate treatment of existing materiality qualifications and date-specific warranties; material compliance with interim covenants; and absence of a material adverse change under an agreed definition. That definition shall exclude general economic, market and industry changes, changes in law or accounting standards and effects of the announcement of the transaction, with a negotiated disproportionate-impact exception where appropriate. The parties shall use agreed reasonable efforts to secure approvals and satisfy conditions. Either party may terminate if Closing has not occurred by the outside date, unless its own material breach caused the failure to close; the definitive agreement shall also provide termination rights for a final legal prohibition and an uncured material breach preventing satisfaction of a Closing condition, with appropriate notice and cure periods. Termination shall preserve accrued rights for prior breach and expressly surviving obligations.</w:t>
        <w:br/>
        <w:t>Between signing and Closing, the Seller shall procure operation of the business in the ordinary course in all material respects. Except as disclosed and agreed, required by law or expressly contemplated by the definitive agreement, distributions, new indebtedness outside agreed ordinary-course limits and material transactions outside the ordinary course shall require Buyer consent, not to be unreasonably withheld, conditioned or delayed. The Buyer shall receive reasonable information access on notice, subject to confidentiality, privilege, applicable law and noninterference with the business; access shall not confer pre-Closing operational control.</w:t>
      </w:r>
    </w:p>
    <w:p>
      <w:r>
        <w:t>3. Warranties, Disclosure and Claims. The definitive agreement shall contain negotiated Seller warranties addressing authority and enforceability; ownership of and title to the Shares; capitalization; financial statements and undisclosed liabilities; taxes; material contracts; litigation; legal compliance; employment; intellectual property; and insolvency. Business warranties shall be subject to appropriate, specifically negotiated knowledge and materiality qualifications and matters fairly disclosed with sufficient detail in disclosure schedules delivered and agreed before signing. Post-signing disclosures shall not automatically cure a breach or qualify a Closing condition without the Buyer’s agreement. The Seller shall coordinate preparation of the disclosure schedules alongside pre-signing diligence, subject to privilege, confidentiality and applicable law.</w:t>
        <w:br/>
        <w:t>The definitive agreement shall provide contractual remedies for warranty breaches, a negotiated pre-Closing tax indemnity and any specifically agreed diligence-related indemnities. The Seller proposes an 18-month survival period for general business warranties, a general warranty liability cap of 10% of the final purchase price and an aggregate deductible basket of 1%, with a per-claim de minimis threshold to be agreed. Fundamental warranty claims shall be subject to a separate cap not exceeding the final purchase price and an agreed longer survival period; tax claims shall have separately agreed limitations and survival tied to the applicable statutory period. Any fraud exception shall be carefully defined and shall not limit liability that cannot lawfully be limited. The Seller proposes an escrow of 5% of the Closing purchase price for 18 months, credited against and not additional to applicable liability caps, with release of the balance at expiry except for reasonably quantified amounts relating to properly notified outstanding claims. No additional holdback is proposed. Claims provisions shall address notice, defense and settlement of third-party claims, mitigation, recoveries under insurance or from third parties, and prevention of double recovery. Contractual remedies shall be exclusive to the extent permitted by law, subject to agreed fraud and equitable-relief exceptions. These limitations, escrow terms and survival periods remain proposals for negotiation, not agreed terms.</w:t>
      </w:r>
    </w:p>
    <w:p>
      <w:r>
        <w:t>4. Confidentiality and Announcements. The definitive agreement shall require each party to keep confidential the transaction terms, negotiations and nonpublic information received in connection with the transaction, subject to customary exclusions for information lawfully public or independently obtained without breach of duty. Disclosure shall be permitted on a need-to-know basis to professional advisers and, for the Buyer, its affiliates, prospective financing sources and their advisers, provided recipients are bound by professional duties or contractual confidentiality obligations appropriate to the information and no less protective in substance. Each disclosing party shall be responsible for breaches by its permitted recipients, subject to any expressly agreed exception for recipients directly bound to the other party. Disclosure may also be made with the other party’s prior written consent or to the extent required by applicable law, regulation or legal process. Where legally permitted, the disclosing party shall give prompt prior notice, cooperate reasonably in seeking confidential treatment and disclose only what is required. Public announcements shall require prior agreement on timing and content, except where legally required, in which case the announcing party shall consult the other party in advance where legally permitted. Existing binding confidentiality obligations remain in force pending execution of definitive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