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br/>
        <w:t>DISCUSSION DRAFT — SUBJECT TO CONTRACT AND SELLER APPROVAL</w:t>
        <w:br/>
        <w:t>This draft is nonbinding in its entirety and creates no obligation to consummate a transaction or continue negotiations. No provision becomes binding unless incorporated into a definitive agreement executed and delivered by both parties. Any existing confidentiality agreement remains unaffected.</w:t>
      </w:r>
    </w:p>
    <w:p>
      <w:r>
        <w:t>1. Purchase Price. The proposed purchase price for the Shares is USD 35,000,000, subject to satisfactory diligence, required party approvals, and agreement on definitive terms. The parties shall agree whether this amount represents enterprise value or equity value and shall document the treatment of cash, debt, transaction expenses, and normalized working capital, including an agreed working-capital target. No amount shall be counted more than once, whether in a price adjustment, indemnity recovery, or otherwise. The definitive agreement shall specify accounting principles, illustrative calculations, estimated closing adjustments, a post-closing true-up, access to supporting records, objection periods, and resolution of accounting disputes by an independent accountant acting as an expert. Any escrow or holdback shall be funded from, and not in addition to, the purchase price.</w:t>
      </w:r>
    </w:p>
    <w:p>
      <w:r>
        <w:t>2. Closing; Conditions; Deliverables. The parties shall target closing within 30 days after signing, but closing shall occur only following satisfaction or written waiver by the entitled party of the agreed conditions, other than conditions to be satisfied at closing. The definitive agreement shall specify the closing timetable and a mutually agreed outside date. Conditions shall include completion of Buyer's diligence on an agreed scope and timetable, required corporate and regulatory approvals, specified third-party consents, absence of a legal prohibition, accuracy of representations subject to negotiated materiality standards, material performance of covenants, and delivery of agreed closing documents. Conditions required by law may not be waived. Seller shall deliver duly executed share transfers, applicable share certificates or equivalent evidence of title, required corporate authorizations, agreed resignations, releases of specified liens, and a closing certificate. Buyer shall deliver the closing payment, its authorizations and closing certificate, and any agreed escrow documentation and funding. Neither an unconditional closing deadline nor an unrestricted continuing diligence condition is agreed by this draft.</w:t>
      </w:r>
    </w:p>
    <w:p>
      <w:r>
        <w:t>3. Representations; Disclosure Schedules. The definitive agreement shall contain customary Seller representations concerning ownership of and good title to the Shares, free of liens other than agreed permitted restrictions; capacity, authority, execution and enforceability; capitalization and outstanding equity rights; financial statements and their fair presentation under agreed accounting principles; absence of undisclosed liabilities subject to agreed exceptions; taxes and tax returns; material contracts and defaults; pending or threatened litigation; and compliance with applicable laws. The representations shall be subject to negotiated scope, materiality and knowledge qualifications, applicable dates, and disclosure schedules delivered with signing. Cross-disclosure shall qualify other representations only where its relevance is reasonably apparent. Any post-signing schedule updates and their consequences shall be expressly agreed and shall not automatically cure a breach. Buyer shall provide customary representations concerning organization, authority, enforceability, required approvals, and availability of funds.</w:t>
        <w:br/>
        <w:br/>
        <w:t>5. Interim Covenants and Diligence Access. Between signing and closing, Seller shall cause the target to operate in the ordinary course and use commercially reasonable efforts to preserve its business and material relationships. Subject to agreed exceptions and thresholds, specified extraordinary actions, including equity issuances, distributions, material borrowing, asset dispositions, and material contract changes, shall require Buyer's consent, not to be unreasonably withheld, conditioned, or delayed. Buyer shall receive reasonable access on notice during business hours to relevant records, personnel, and premises, subject to confidentiality, privilege, data-protection and competition laws, and avoidance of unreasonable business disruption. No employee, customer, or supplier contact shall occur without Seller's prior consent. The parties shall cooperate in obtaining agreed approvals and consents; Buyer shall not control the business before closing.</w:t>
        <w:br/>
        <w:br/>
        <w:t>6. Termination. The definitive agreement shall permit termination by mutual written agreement; by either party if closing has not occurred by the agreed outside date, unless that party's material breach caused the failure; upon a final, nonappealable legal prohibition; or for the other party's material breach that would cause an agreed closing condition to fail and remains uncured following written notice and an agreed cure period. Any diligence-based termination right shall have an expressly agreed deadline and notice procedure. Termination shall end prospective obligations, subject to specified surviving provisions and agreed liability for pre-termination breach.</w:t>
        <w:br/>
        <w:br/>
        <w:t>7. Indemnification; Escrow or Holdback. The definitive agreement shall provide negotiated indemnification for breaches of representations and covenants and specified tax or other agreed liabilities, with reciprocal Buyer protection for Seller against Buyer's breaches. Indemnification shall be subject to agreed survival periods, de minimis thresholds, baskets, caps, mitigation obligations, claims procedures, defense and settlement controls, and treatment of insurance and other recoveries. The treatment of fundamental representations, taxes, and fraud shall be expressly agreed. An appropriately sized escrow or holdback from the purchase price shall secure specified Seller obligations under agreed release dates and procedures for retaining only amounts reasonably required for timely notified unresolved claims. Its amount, duration, and whether it constitutes the exclusive recovery source for particular claims remain open. There shall be no double recovery, including for matters already reflected in purchase-price adjustments. The parties shall negotiate an exclusive-remedy provision with expressly agreed exceptions.</w:t>
      </w:r>
    </w:p>
    <w:p>
      <w:r>
        <w:t>4. Confidentiality. Subject to any existing confidentiality agreement, each party shall keep confidential the transaction terms, negotiations, and nonpublic information received from the other party and use such information solely to evaluate, finance, or implement the transaction. Disclosure may be made on a need-to-know basis to personnel, professional advisers, and bona fide financing sources and their advisers who are bound by confidentiality obligations or professional duties protecting the information. Each party shall be responsible for breaches by its permitted recipients to the extent agreed in the definitive agreement. Disclosure required by law, regulation, court order, or applicable stock-exchange rules is permitted, provided that, where lawful, the disclosing party gives prompt prior notice, reasonably cooperates in seeking protective treatment, and discloses only what is required. Confidential information excludes information demonstrably public other than through breach, lawfully known without restriction before disclosure, independently developed, or lawfully received from a third party without a confidentiality restriction. Public announcements require prior written agreement except for legally required disclosures subject to the foregoing safeguards.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