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NONBINDING DISCUSSION DRAFT</w:t>
        <w:br/>
        <w:t>All provisions below are proposals only, subject to Seller and Buyer approval, satisfactory due diligence, and negotiation and execution of definitive documentation. Neither party is obligated to transact by reason of this draft. Any existing confidentiality agreement remains unaffected.</w:t>
      </w:r>
    </w:p>
    <w:p>
      <w:r>
        <w:t>1. Purchase Price and Adjustments. For discussion only, the Buyer has proposed a base price of USD 35,000,000 for the Shares, subject to both parties’ approval, satisfactory due diligence, and agreement on definitive transaction terms. The Seller has not accepted this proposal. On the proposed cash-free, debt-free basis with normalized working capital, the amount payable would equal the base price plus closing cash, less closing indebtedness and unpaid Company transaction expenses, plus the excess or less the shortfall of closing working capital against an agreed normalized target. The target, accounting principles, illustrative calculation, and definitions of each component must be agreed before execution. No item shall be counted more than once, and cash, indebtedness, and transaction expenses shall be excluded from working capital. Seller shall deliver a good-faith estimated closing statement at least five business days before closing, with payment based on that estimate. Buyer shall deliver a proposed final statement and supporting calculations within 60 days after closing; Seller shall have 30 days to review and dispute it, with reasonable access to relevant records and personnel. Undisputed amounts shall become final. Unresolved accounting disputes following 20 days of good-faith discussions shall be submitted to an independent accountant jointly appointed by the parties, acting as an expert within the disputed items and the parties’ respective positions. The resulting true-up shall be paid within five business days after final determination. Appointment procedures and allocation of expert costs shall be settled in the definitive agreement.</w:t>
      </w:r>
    </w:p>
    <w:p>
      <w:r>
        <w:t>2. Closing, Interim Covenants, and Termination. The parties shall target closing within 30 days after execution of the definitive agreement, without an unconditional obligation to close by that date. Closing shall be subject to required regulatory approvals and agreed material third-party consents, absence of a legal prohibition, delivery of agreed transfer and closing documents, accuracy of representations under agreed materiality standards, and material performance of covenants. Buyer’s diligence shall be completed before execution unless specific remaining diligence conditions and objective satisfaction criteria are expressly agreed in the definitive agreement. Between execution and closing, Seller shall cause the Company to operate in the ordinary course, use commercially reasonable efforts to preserve its business, and provide reasonable diligence access subject to confidentiality, privilege, applicable law, and non-disruption safeguards. Material departures, including extraordinary distributions, material new indebtedness, equity issuances, and material asset disposals, shall require Buyer consent, not unreasonably withheld, conditioned, or delayed, subject to agreed exceptions and thresholds. Both parties shall cooperate in obtaining approvals and shall not take actions intended to frustrate closing. The definitive agreement shall permit termination by mutual written agreement, for a final nonappealable legal prohibition, for a material breach preventing satisfaction of a closing condition that remains uncured following an agreed notice and cure period, or if closing has not occurred by an agreed outside date, proposed as 60 days after execution with agreed regulatory extensions. A party whose material breach caused the failure to close may not rely on the outside-date termination right. Termination shall preserve accrued claims for fraud and willful breach and expressly surviving obligations.</w:t>
      </w:r>
    </w:p>
    <w:p>
      <w:r>
        <w:t>3. Representations, Disclosure, and Claims. Subject to negotiated disclosure schedules, materiality thresholds, and appropriate knowledge qualifications, Seller shall give representations addressing its authority and enforceability; ownership of and title to the Shares free of encumbrances other than agreed permitted encumbrances; Company capitalization and outstanding equity rights; financial statements prepared consistently under the agreed accounting framework and fairly presenting the relevant financial position and results in all material respects; absence of undisclosed material liabilities, subject to agreed exceptions for disclosed, reserved, and ordinary-course liabilities; tax filings and payments; material contracts and material defaults; material litigation; and material compliance with applicable laws. Buyer shall provide customary representations concerning authority, enforceability, and availability of funds at closing. Seller shall prepare proposed disclosure schedules and make agreed supporting financial information available through the diligence process, subject to existing confidentiality arrangements and appropriate access restrictions. The definitive agreement shall provide indemnification for breaches of representations and covenants and specifically agreed pre-closing tax matters. Seller proposes an 18-month survival period for general representations, a deductible basket equal to 1% of the base price, and an aggregate general-representation cap equal to 10% of the base price. Fundamental representations, tax matters, covenants, and fraud shall be addressed separately with expressly agreed survival periods, caps, and exceptions; no fraud limitation shall extend beyond what applicable law permits. Claims shall be subject to timely written notice, reasonable detail, mitigation, no double recovery, credit for actual insurance recoveries net of recovery costs, and agreed third-party defense and settlement procedures. As security, Seller proposes an escrow of 5% of the base price, funded from closing proceeds and counted toward, not additional to, applicable liability caps, to be released after 18 months except for amounts reasonably reserved for timely asserted unresolved claims. The escrow agent, permitted claims, release mechanics, and any recourse beyond escrow remain to be agreed. Indemnification shall be the exclusive post-closing monetary remedy except for purchase-price adjustments, fraud, and other expressly agreed exceptions.</w:t>
      </w:r>
    </w:p>
    <w:p>
      <w:r>
        <w:t>4. Confidentiality. The definitive agreement shall protect the transaction’s existence and terms and nonpublic information exchanged in connection with it. Permitted disclosures shall include disclosures to directors, officers, employees, professional advisers, and bona fide financing sources who need to know and are subject to confidentiality duties or undertakings, with responsibility for their compliance allocated in the definitive agreement. Disclosure required by law, regulation, stock-exchange rule, or binding legal process shall be permitted, subject, where lawful and practicable, to advance notice, reasonable cooperation in seeking protective treatment, and disclosure only of the required information. Customary exclusions shall apply to information that is public other than through a breach, lawfully known without restriction before disclosure, lawfully received from a third party without confidentiality restrictions, or independently developed without use of protected information. Public announcements shall require both parties’ prior written consent except where legally required. Existing confidentiality obligations remain in effect unless expressly superseded by an executed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