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NONBINDING DISCUSSION DRAFT</w:t>
        <w:br/>
        <w:t>This draft records proposals for negotiation only. Neither party shall be bound to consummate the transaction unless and until definitive documentation is agreed, approved and executed. Any existing confidentiality agreement remains unaffected.</w:t>
      </w:r>
    </w:p>
    <w:p>
      <w:r>
        <w:t>1. Purchase Price. Seller proposes a base purchase price of USD 45,000,000 for the Shares. Buyer’s nonbinding USD 35,000,000 counterproposal, subject to Buyer approval and satisfactory diligence, is acknowledged but not accepted. The definitive agreement shall specify whether the agreed base price is expressed on an enterprise-value or equity-value basis and provide for corresponding adjustments for cash, debt, transaction expenses and closing working capital relative to an agreed normalized working-capital target, without double counting. Definitions, accounting principles, illustrative calculations, preparation and review of completion accounts, objection periods and independent expert resolution of disputed accounting items remain to be agreed.</w:t>
      </w:r>
    </w:p>
    <w:p>
      <w:r>
        <w:t>2. Closing; Interim Covenants; Termination. The parties propose to target Closing within 30 days after execution of definitive documentation, subject to satisfactory completion of Buyer’s diligence, required corporate and regulatory approvals, required third-party consents, and satisfaction or agreed waiver of specified closing conditions. The definitive agreement shall establish an agreed diligence process and deadline and shall not provide an indefinite discretionary diligence condition. Closing conditions shall include performance of material covenants and accuracy of warranties subject to negotiated materiality standards. Between signing and Closing, Seller shall procure operation of the business in the ordinary course and compliance with agreed restrictions on material extraordinary transactions, distributions, indebtedness and disposals, subject to agreed exceptions and Buyer consent not to be unreasonably withheld, conditioned or delayed. Customary closing deliverables shall include duly executed share transfers, share certificates where applicable, corporate approvals, agreed releases of security, evidence of required consents and agreed officer certificates. The definitive agreement shall include termination rights for mutual agreement, material uncured breach, a final legal prohibition and failure to close by an agreed outside date, subject to customary restrictions on termination by a party responsible for the failure.</w:t>
      </w:r>
    </w:p>
    <w:p>
      <w:r>
        <w:t>3. Warranties; Disclosure; Indemnification. The definitive agreement shall contain negotiated Seller warranties concerning ownership of and unencumbered title to the Shares, authority, capitalization, financial statements, undisclosed liabilities, taxes, material contracts, litigation and compliance with law. Their scope, materiality and knowledge qualifications, applicable periods and exceptions shall be expressly agreed. Seller shall prepare disclosure schedules qualifying the warranties under agreed disclosure standards and make agreed supporting financial information available through a secure diligence process, subject to privilege, applicable law and confidentiality restrictions. The definitive agreement shall provide indemnification for agreed warranty breaches, covenant breaches and specifically identified matters, subject to negotiated survival periods, baskets, caps, claim procedures, mitigation obligations and prohibitions on double recovery. Any escrow or holdback, including its amount, duration, release mechanics and relationship to liability caps and other remedies, requires express agreement. The treatment of fraud and fundamental warranties, and the scope of any exclusive-remedy provision, remain to be negotiated.</w:t>
      </w:r>
    </w:p>
    <w:p>
      <w:r>
        <w:t>4. Confidentiality. Subject to any existing confidentiality agreement, the definitive agreement shall require the parties to keep the transaction terms and nonpublic information received in connection with the transaction confidential and to use that information only for evaluating, financing and implementing the transaction. Permitted disclosures shall include disclosures on a need-to-know basis to professional advisers and actual or prospective financing sources subject to professional duties or confidentiality obligations appropriate to the information. Each party shall be responsible for compliance by its recipients as agreed in definitive documentation. Disclosures required by law, regulation or binding legal process shall be permitted, with advance notice where legally permissible, reasonable cooperation in seeking protective treatment and disclosure limited to what is legally required. Public announcements shall require prior agreement except where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