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DISCUSSION DRAFT</w:t>
        <w:br/>
        <w:t>Subject to Contract. This draft records proposed terms only and creates no binding obligation to consummate a transaction or continue negotiations. Any transaction is subject to satisfactory due diligence, agreement on all terms, required party approvals, and execution of definitive documentation. Existing binding confidentiality obligations remain unaffected.</w:t>
      </w:r>
    </w:p>
    <w:p>
      <w:r>
        <w:t>1. Purchase Price. The Seller’s asking price for the Shares remains USD 45,000,000. The Buyer has proposed USD 35,000,000 as its initial, nonbinding price proposal, subject to satisfactory due diligence, an agreed cash, debt and normalized working-capital adjustment mechanism, definitive documentation and Buyer approval. The Seller has not accepted that proposal. The definitive agreement shall specify the agreed base price and the adjustment mechanism, including definitions of cash, debt and debt-like items, the normalized working-capital target, accounting principles, estimated closing adjustments, preparation and review of completion accounts, and independent expert resolution of accounting disputes. The mechanism shall avoid double counting.</w:t>
      </w:r>
    </w:p>
    <w:p>
      <w:r>
        <w:t>2. Closing; Conditions; Deliverables; Termination. The parties will work toward closing within 30 days after signing definitive documentation, subject to satisfaction or, where legally permissible, waiver by the party entitled to the benefit of each agreed closing condition. Conditions shall include required regulatory approvals and third-party consents, absence of any legal prohibition, and agreed standards for accuracy of representations and performance of covenants. Required internal transaction approvals shall be obtained before execution of definitive documentation unless otherwise expressly agreed. Seller closing deliverables shall include duly executed share-transfer instruments, share certificates where applicable, evidence of authority, agreed resignations, releases of agreed encumbrances and closing certificates. Buyer deliverables shall include payment of the agreed closing consideration, evidence of authority and agreed closing certificates. Definitive documentation shall provide for termination by mutual written consent, either party upon an agreed outside date or a final legal prohibition, and the nonbreaching party for a material breach remaining uncured after an agreed notice and cure period. A party whose breach caused failure to close may not rely on that failure to terminate. The outside date, termination consequences and surviving provisions remain to be agreed.</w:t>
      </w:r>
    </w:p>
    <w:p>
      <w:r>
        <w:t>3. Seller Representations; Disclosure Schedules; Interim Covenants; Indemnification. Definitive documentation shall contain customary, transaction-appropriate Seller representations concerning title to the Shares, authority and enforceability, capitalization, undisclosed liabilities, taxes, material contracts, litigation, compliance with applicable law and financial statements. Their scope, materiality and knowledge qualifications, relevant dates and applicable accounting standards remain subject to agreement. Representations shall be qualified by agreed disclosure schedules, including rules governing cross-disclosure. The Seller proposes to provide draft schedules during diligence and before execution of definitive documentation, subject to applicable disclosure restrictions and privilege protections. Between signing and closing, the Seller shall covenant to cause the business to operate in the ordinary course, preserve material relationships and assets, and refrain from agreed extraordinary actions without Buyer consent, not to be unreasonably withheld, conditioned or delayed, subject to agreed exceptions and applicable law. Definitive documentation shall contain negotiated indemnification for breaches of representations and covenants and agreed specified matters, with differentiated survival periods for general, fundamental and tax claims, appropriate thresholds, baskets and caps, claims procedures, mitigation requirements, no double recovery, and agreed treatment of fraud and exclusive remedies. Any escrow, holdback or other security, including its amount, duration and release mechanics, shall be expressly agreed; no unlimited indemnity or security commitment is made by this draft.</w:t>
      </w:r>
    </w:p>
    <w:p>
      <w:r>
        <w:t>4. Confidentiality. Definitive documentation shall require the parties to keep confidential the transaction terms and nonpublic information received in connection with the transaction, subject to customary exceptions for information that is public other than through breach, lawfully received from an unrestricted third party, previously lawfully known or independently developed. Disclosure shall be permitted on a need-to-know basis to professional advisers, financing sources and their advisers who are subject to appropriate confidentiality obligations or professional duties. Disclosure required by law, regulation, court order or applicable stock-exchange rules shall be permitted, with advance notice where lawful and practicable, reasonable cooperation in seeking confidential treatment, and disclosure limited to what is required. Responsibility for recipient breaches and permitted retention shall be addressed in definitive documentation. Pending execution, any existing confidentiality agreement continues to govern; this draft does not amend or replace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