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Seller proposes a base purchase price of USD 45,000,000 for the Shares. Subject to confirmation by the Seller and agreement on the applicable definitions and accounting principles, the price shall be calculated on a cash-free, debt-free basis with normalized working capital, by adding agreed closing cash, subtracting agreed closing indebtedness and unpaid transaction expenses of the target payable in connection with the transaction, and increasing or decreasing the price by the amount by which closing working capital exceeds or falls short of an agreed normalized working-capital target. No item shall be counted more than once, whether in cash, indebtedness, transaction expenses, working capital or any recovery under this Agreement. The definitive agreement shall specify the target, illustrative calculations, consistent accounting principles, an estimated closing statement, a post-closing true-up, reasonable access to supporting records, and resolution of disputed accounting items by an independent accountant acting as an expert. Valuation support, definitions and adjustment assumptions remain subject to confirmation and agreement.</w:t>
      </w:r>
    </w:p>
    <w:p>
      <w:r>
        <w:t>2. Closing. The parties shall target Closing within 30 days after signing the definitive agreement, subject to satisfaction or lawful waiver of agreed closing conditions. Conditions shall include required corporate and regulatory approvals, absence of any legal prohibition, delivery of duly executed share-transfer instruments and other agreed closing deliverables, payment of the purchase price, and accuracy of representations and performance of covenants subject to agreed materiality standards. Buyer approval and satisfactory completion of diligence shall be prerequisites to signing; any diligence condition continuing after signing must be expressly agreed, limited in scope and subject to a specified deadline, and shall not constitute an open-ended discretionary right not to close. The definitive agreement shall allocate responsibility for obtaining approvals and specify each party’s closing deliverables.</w:t>
      </w:r>
    </w:p>
    <w:p>
      <w:r>
        <w:t>3. Representations. The definitive agreement shall contain customary Seller representations concerning authority and enforceability; ownership of and title to the Shares, free of encumbrances other than agreed permitted encumbrances; capitalization; financial statements; undisclosed liabilities; taxes; material contracts; litigation; and compliance with applicable laws. Their scope, applicable periods, materiality and knowledge qualifications, and disclosure schedules shall be agreed following diligence. Financial-statement representations shall address preparation under the agreed accounting framework, consistent application and fair presentation in all material respects, with appropriate qualifications for interim statements. The Buyer shall provide customary representations concerning its authority, enforceability and ability to fund the purchase price. Neither party shall be deemed to give representations merely by circulation of this discussion draft.</w:t>
      </w:r>
    </w:p>
    <w:p>
      <w:r>
        <w:t>4. Confidentiality. Subject to any existing confidentiality agreement, each party shall keep confidential the proposed transaction, its terms and nonpublic information received from the other party. Disclosure may be made to advisers and actual or prospective financing sources who need to know for the transaction and are bound by professional duties or confidentiality obligations appropriate to the information. Each disclosing party shall be responsible for breaches by its recipients to the extent agreed in the definitive agreement. Disclosure required by law, regulation or legal process shall be permitted, provided that, to the extent legally permitted, the disclosing party gives prompt advance notice, reasonably cooperates in seeking protective treatment, and discloses only what is required. Customary exceptions shall apply to information lawfully public, previously lawfully known, independently developed, or lawfully received from a third party without confidentiality restrictions. Public announcements require prior mutual consent except where legally required.</w:t>
        <w:br/>
        <w:br/>
        <w:t>5. Interim Covenants. Between signing and Closing, the Seller shall procure that the target operates in the ordinary course in all material respects and uses commercially reasonable efforts to preserve its business. Subject to agreed thresholds and exceptions, extraordinary distributions, securities issuances, material indebtedness, material asset disposals, and material changes to contracts or accounting practices shall require Buyer consent, not to be unreasonably withheld, conditioned or delayed. Exceptions shall cover agreed disclosed actions, legal requirements and reasonable emergency measures with prompt notice. Reasonable diligence access shall be subject to confidentiality, privilege, data-protection requirements and avoidance of unreasonable business disruption. Nothing shall give the Buyer control of the target before Closing.</w:t>
        <w:br/>
        <w:br/>
        <w:t>6. Indemnification. The definitive agreement shall provide negotiated indemnities for breaches of representations and covenants, pre-Closing taxes and any specifically identified risks. General representations are proposed to survive for 18 months after Closing; title, authority, capitalization and tax representations shall survive for longer periods to be agreed by reference to applicable limitation periods. Covenants shall survive according to their terms. Recovery shall be subject to agreed de minimis thresholds, baskets, caps, mitigation requirements and claims procedures, including notice and conduct of third-party claims. There shall be no double recovery, including for matters already reflected in the purchase-price adjustment. Treatment of fraud and other exceptions shall be expressly agreed, subject to applicable law. Any escrow, holdback or other security, including its amount, duration and release mechanics, remains to be negotiated and is not agreed by inclusion of this provision.</w:t>
        <w:br/>
        <w:br/>
        <w:t>7. Termination. The definitive agreement shall permit termination by mutual written consent; by either party if Closing has not occurred by an agreed long-stop date, unless that party’s material breach caused the failure to close; upon a final nonappealable legal prohibition; and by a nonbreaching party for a material breach that prevents satisfaction of a closing condition and remains uncured after an agreed notice and cure period. Any post-signing diligence termination right must satisfy Section 2. Termination shall not prejudice accrued rights for prior breach, and agreed confidentiality, dispute-resolution and other expressly surviving provisions shall remain effective. Remedies, liability limitations and any entitlement to specific performance shall be addressed expressly in the definitive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