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aggregate purchase price for the Shares shall be USD 40,000,000 (the “Base Purchase Price”), subject only to the closing adjustments expressly set forth in this Agreement. At Closing, Buyer shall pay Seller the Base Purchase Price, as adjusted for (a) Company cash, (b) Company indebtedness, (c) unpaid transaction expenses, and (d) the amount by which Closing Working Capital is above or below the Working Capital Target, in each case determined in accordance with accounting principles, policies and procedures to be agreed in writing by the parties before signing and applied consistently with the Company’s past practice. The parties shall agree in writing before signing the definitions, target, sample calculation, accounting hierarchy, and preparation and dispute-resolution procedures for the closing statement. Buyer shall deliver a good-faith estimated closing statement and its calculation of the estimated adjustment at least three business days before Closing; the estimated adjustment shall be paid at Closing. The parties shall prepare and resolve the final closing statement after Closing under the agreed procedures, with any resulting payment made within five business days after final determination. No other purchase-price adjustment or reduction shall apply.</w:t>
      </w:r>
    </w:p>
    <w:p>
      <w:r>
        <w:t>2. Closing; Conditions. Closing shall occur within 30 days after signing, or at another time agreed in writing, subject to satisfaction or written waiver by the party for whose benefit a condition exists of the following conditions: (a) all required governmental approvals shall have been obtained and remain in effect; (b) each party shall have received the agreed ancillary documents, duly executed by the other party, including the share-transfer instruments and customary closing certificates; (c) the other party’s representations and warranties shall be true and correct at Closing, subject, in the case of representations expressly qualified by materiality, to their terms and, in all other cases, except for inaccuracies that would not reasonably be expected, individually or in the aggregate, to prevent or materially impair that party’s ability to consummate the transaction; and (d) the other party shall have performed in all material respects its covenants required to be performed at or before Closing. Buyer’s diligence review is not a separate or discretionary condition to Closing; Buyer shall have had a reasonable opportunity to complete its diligence before signing. Neither party may rely on the failure of a condition caused by its own breach.</w:t>
      </w:r>
    </w:p>
    <w:p>
      <w:r>
        <w:t>3. Representations; Disclosure Schedules; Indemnification. (a) Seller represents to Buyer, as of signing and as of Closing, that: (i) Seller has authority to execute and perform this Agreement; (ii) Seller owns the Shares beneficially and of record, free of liens created by Seller, and has authority to transfer them; and (iii) the Company financial statements identified in Schedule 3(a)(iii) were prepared in accordance with the accounting principles stated therein, consistently applied, and fairly present in all material respects the Company’s financial condition and results for the periods indicated, subject, for unaudited statements, to normal year-end adjustments and the absence of notes. Except for the foregoing express representations, Seller makes no representation or warranty, express or implied, and all other representations are disclaimed to the fullest extent permitted by law. The parties shall prepare and agree disclosure schedules before signing; proposed schedule headings are Schedule 3(a)(iii) (Financial Statements), Schedule 3(b)(i) (Company Organization and Authority), Schedule 3(b)(ii) (Absence of Undisclosed Liabilities), Schedule 3(b)(iii) (Taxes), Schedule 3(b)(iv) (Compliance with Law), Schedule 3(b)(v) (Material Contracts), Schedule 3(b)(vi) (Litigation), Schedule 3(b)(vii) (Employees and Employee Plans), and Schedule 3(a)(ii) (Shares and Liens). The headings are a framework only and do not expand the express representations in this clause; no schedule or representation is agreed until completed and expressly included in the executed Agreement. (b) Subject to the limitations below, Seller shall indemnify Buyer for direct losses to the extent arising from Seller’s breach of an express representation or warranty or covenant in this Agreement. Buyer shall give reasonably prompt written notice describing the claim and, for third-party claims, permit Seller to control the defense with counsel reasonably acceptable to Buyer; no settlement imposing non-monetary relief or an admission on Buyer may be made without Buyer’s consent, not unreasonably withheld. Buyer’s exclusive remedy for such claims shall be this indemnification, except for fraud finally determined by a court of competent jurisdiction. (c) Representations and warranties shall survive for 12 months after Closing; claims for breach must be noticed in reasonable detail before expiration, and timely noticed claims survive until resolved. Seller’s aggregate liability for representation and warranty claims shall not exceed 10% of the Base Purchase Price, and no such claim shall be recoverable until aggregate covered losses exceed 1% of the Base Purchase Price, after which only losses above that deductible are recoverable. The cap and basket do not limit claims for fraud or breach of the fundamental representations in clauses (a)(i) and (a)(ii), for which the aggregate cap shall be the Base Purchase Price; in no event shall Seller be liable for punitive, exemplary, special, indirect or consequential damages, or for amounts reflected in the final closing adjustment or actually recovered under insurance or from a third party. (d) At Closing, 5% of the Base Purchase Price shall be held in escrow for 12 months under an escrow agreement mutually agreed before signing, solely as security for timely noticed indemnification claims, with any undisputed balance released promptly at expiration. Buyer shall not set off claims against amounts due to Seller.</w:t>
      </w:r>
    </w:p>
    <w:p>
      <w:r>
        <w:t>4. Confidentiality. Each party shall keep confidential the terms of this Agreement and all confidential information received from the other party in connection with the transaction, and shall use such information solely to evaluate, negotiate and consummate the transaction. A party may disclose such information to its affiliates, and to its and their directors, officers, employees, professional advisers, financing sources and prospective financing sources, in each case only to those who need to know it for the transaction and are bound by confidentiality obligations at least as protective as this clause, or as required by law or regulation (with prior notice to the other party to the extent legally permitted). Each party is responsible for any breach of this clause by its representatives and shall inform them of its obligations. No public announcement shall be made without the other party’s prior written consent, except as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