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45,000,000 in immediately available funds in consideration for the Shares.</w:t>
      </w:r>
    </w:p>
    <w:p>
      <w:r>
        <w:t>2. Closing. Closing shall occur within 30 days of signing.</w:t>
      </w:r>
    </w:p>
    <w:p>
      <w:r>
        <w:t>3. Representations. The Seller represents that, to the Seller’s knowledge, the financial statements delivered to the Buyer are accurate in all material respects as of their respective dates.</w:t>
      </w:r>
    </w:p>
    <w:p>
      <w:r>
        <w:t>4. Confidentiality. Each party shall keep confidential the terms of this Agreement and information received from the other party in connection with the transaction, except to the extent disclosure is required by law or is made to its professional advisers, financing sources, or representatives who are bound by confidentiality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