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in cash at Closing for the Shares.</w:t>
      </w:r>
    </w:p>
    <w:p>
      <w:r>
        <w:t>2. Closing. Closing shall occur within 30 days of signing.</w:t>
      </w:r>
    </w:p>
    <w:p>
      <w:r>
        <w:t>3. Representations. The Seller represents that, to the Seller's knowledge, the financial statements included in the agreed disclosure materials are accurate in all material respects as of their respective dates.</w:t>
      </w:r>
    </w:p>
    <w:p>
      <w:r>
        <w:t>4. Confidentiality. Each party shall keep the terms of this Agreement confidential and shall not disclose them except to its representatives who need to know them and are bound by confidentiality obligations, or as required by law. A party may disclose the terms to the extent reasonably necessary to enforce this Agreement or complete the transactions contemplated by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