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and Adjustments. The Buyer shall pay the Seller USD 42,000,000 in cash at Closing (the “Base Purchase Price”), subject to satisfactory completion of the Buyer’s due diligence and agreement and execution of definitive transaction documents. The Base Purchase Price shall be adjusted dollar-for-dollar by (a) adding the amount, if any, by which Closing Working Capital exceeds the agreed target working capital, or subtracting the amount, if any, by which Closing Working Capital is below that target, (b) subtracting Closing Indebtedness, and (c) subtracting unpaid Seller Transaction Expenses, and adding Closing Cash, in each case as determined under agreed definitions, accounting principles, procedures, and a post-closing statement and review process to be set out in the definitive agreement. The parties will agree the target working capital, accounting hierarchy, dispute-resolution procedure, and payment timing in the definitive agreement. The USD 30,000,000 proposal is not accepted.</w:t>
      </w:r>
    </w:p>
    <w:p>
      <w:r>
        <w:t>2. Closing; Conditions; Interim Covenants. Closing shall occur on a date agreed by the parties in the definitive agreement, following satisfaction or waiver of applicable closing conditions. Customary conditions will include (a) accuracy of the parties’ representations and warranties, subject to negotiated materiality standards and specified bring-down standards, (b) performance in all material respects of covenants required to be performed before Closing, (c) receipt of required governmental and other approvals, and (d) no applicable law or order prohibiting the transaction. From signing until Closing, the Seller will operate the business in the ordinary course consistent with past practice, subject to agreed exceptions, including actions required by law, emergencies, and actions taken with the Buyer’s consent (not to be unreasonably withheld, conditioned, or delayed). The definitive agreement will specify any other customary interim operating covenants and conditions.</w:t>
      </w:r>
    </w:p>
    <w:p>
      <w:r>
        <w:t>3. Representations; Disclosure Schedules; Indemnification. The definitive agreement will contain customary representations and warranties by the Seller, qualified as appropriate by materiality, specified knowledge standards, and exceptions set forth in disclosure schedules, concerning organization and authority, capitalization, the Shares and Seller’s title thereto, financial statements, absence of specified undisclosed liabilities, compliance with law, material contracts, litigation, taxes, and employees. The financial-statement representation will not be knowledge-qualified, but will be subject to agreed materiality standards, the accounting basis and periods specified in the definitive agreement, and exceptions disclosed in the applicable schedule. The Seller’s representations will be subject to delivery and agreement of disclosure schedules. The definitive agreement will include customary, negotiated covenants and indemnification provisions, including survival periods, claim procedures, appropriate baskets and caps, and exclusions and limitations on recovery; any exclusive-remedy provision, treatment of fraud, and other limitations will be addressed in the definitive agreement. No representation or warranty is made by this draft as to matters not expressly set out in definitive executed documentation.</w:t>
      </w:r>
    </w:p>
    <w:p>
      <w:r>
        <w:t>4. Confidentiality. Each party shall keep the existence and terms of this Agreement and information received from the other party in connection with the proposed transaction confidential, and shall not disclose such information except to its affiliates and its and their representatives who need to know it for evaluating, negotiating, financing, or completing the transaction and are bound by confidentiality obligations; with the other party’s prior written consent; as required by law, regulation, or applicable stock-exchange requirements (with prior notice where legally permitted and reasonably practicable); or to the extent reasonably necessary to enforce this Agreement or complete the transactions contemplated by it. Each party is responsible for its representatives’ compliance. Information that is public other than through a breach, was independently developed, or was rightfully received from a third party without a duty of confidentiality is not subject to these restrictions. These obligations are mutual and apply subject to any separate confidentiality agreement, which will control in the event of conflict.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