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(the “Base Purchase Price”), subject to adjustment as set forth herein, by wire transfer of immediately available funds. The amount payable at Closing shall be increased by the amount of Company cash and cash equivalents as of the Closing and decreased by Company indebtedness as of the Closing and by the amount, if any, by which Closing Net Working Capital is below the agreed target Net Working Capital (and increased by the amount, if any, by which Closing Net Working Capital exceeds that target), in each case determined in accordance with accounting principles and procedures to be agreed by the parties and consistently applied. The parties shall agree on the target Net Working Capital, the definition of indebtedness, and a post-Closing statement and review process in the definitive agreement. At Closing, the Buyer shall deposit 5% of the Base Purchase Price into escrow with an agreed escrow agent to secure the Seller’s indemnification obligations, with any undisputed balance released to the Seller 12 months after Closing. No amount shall be withheld or set off except as expressly provided in the definitive agreement.</w:t>
      </w:r>
    </w:p>
    <w:p>
      <w:r>
        <w:t>2. Closing; Due Diligence. Closing shall occur within 30 days after execution of the definitive agreement, subject to satisfaction or waiver of the closing conditions. The Buyer shall have 30 days after execution of the definitive agreement to complete its due diligence. The Buyer’s obligation to proceed is conditioned on its satisfactory completion of due diligence, with the Buyer acting reasonably and in good faith and delivering written notice of any election not to proceed before the end of that period; if it does not timely deliver such notice, this condition shall be deemed satisfied. The definitive agreement shall include customary cooperation and access provisions, subject to applicable law, privilege, confidentiality, and reasonable operational safeguards.</w:t>
      </w:r>
    </w:p>
    <w:p>
      <w:r>
        <w:t>3. Seller Representations. In the definitive agreement, the Seller shall make customary representations, subject to negotiated disclosure schedules and appropriate materiality and knowledge qualifiers, including as to: (a) organization, good standing, authority, and enforceability; (b) capitalization and ownership of the Shares; (c) the accuracy of the financial statements provided to the Buyer in all material respects; (d) absence of undisclosed liabilities, subject to customary exceptions; (e) compliance with applicable law; (f) material contracts; (g) litigation; (h) taxes; (i) employees and employee benefit matters; and (j) good title to the Shares, free and clear of liens created by the Seller. The definitive agreement shall also include customary representations concerning brokers and other matters agreed by the parties.</w:t>
      </w:r>
    </w:p>
    <w:p>
      <w:r>
        <w:t>7. Indemnification. The definitive agreement shall provide for customary indemnification for breaches of representations, warranties, and covenants, subject to an exclusive-recourse framework and negotiated procedures. General representations shall survive for 12 months after Closing; fundamental representations concerning authority, capitalization, and title to the Shares shall survive for the applicable statute of limitations. Claims for general representation breaches shall be subject to a deductible basket equal to 1% of the Base Purchase Price and an aggregate cap equal to 10% of the Base Purchase Price; claims for fundamental representation breaches shall be subject to an aggregate cap equal to the Base Purchase Price. These limitations shall not apply to fraud. Recovery for general representation claims shall be made from the escrow to the extent available, and the definitive agreement shall include customary notice, mitigation, and no-double-recovery provisions. The parties shall negotiate any additional specific indemnities, if warranted by diligence.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