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in immediately available funds at Closing, without set-off, deduction, or counterclaim.</w:t>
      </w:r>
    </w:p>
    <w:p>
      <w:r>
        <w:t>2. Closing. Closing shall occur within 30 days of signing.</w:t>
      </w:r>
    </w:p>
    <w:p>
      <w:r>
        <w:t>3. Representations. The Seller represents that, to the Seller’s knowledge and in all material respects, the financial statements delivered to the Buyer are accurate as of their respective dates, subject to matters fairly disclosed to the Buyer in writing.</w:t>
      </w:r>
    </w:p>
    <w:p>
      <w:r>
        <w:t>4. Confidentiality. Each party shall keep confidential the existence and terms of this Agreement and all non-public information received from the other party in connection with the transaction, and shall not disclose such information except to its representatives who need to know it and are bound by confidentiality obligations, or as required by law. This clause does not apply to information that is or becomes publicly available other than through breach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