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aggregate purchase price for the Shares shall be USD 42,000,000 (the “Purchase Price”), subject to adjustment at Closing for cash, indebtedness, and working capital, in each case against target amounts to be mutually agreed in writing following review of relevant financial information and diligence. The adjustment mechanics, including the treatment of any excess or shortfall, shall be set out in a mutually agreed schedule. At Closing, the Buyer shall pay the Purchase Price, as so adjusted, less the amount deposited into escrow, to the Seller in immediately available funds. For discussion, the Seller proposes an escrow equal to 5% of the Purchase Price, to be held for 12 months after Closing solely to secure the Seller’s covered indemnification obligations under this Agreement, on terms to be mutually agreed. No amount may be withheld, deducted, or set off except as expressly provided in the agreed escrow arrangements or pursuant to a final, non-appealable determination of a competent court.</w:t>
      </w:r>
    </w:p>
    <w:p>
      <w:r>
        <w:t>2. Closing. Closing shall occur after satisfaction or waiver, to the extent permitted by law, of the conditions precedent set out in this Agreement, including delivery of the agreed closing documents, on a date agreed by the parties. The parties shall agree a long-stop date in the definitive Agreement; if Closing has not occurred by that date, either party may terminate this Agreement by written notice, except that a party may not terminate if its breach of this Agreement was the primary cause of the failure to close.</w:t>
      </w:r>
    </w:p>
    <w:p>
      <w:r>
        <w:t>3. Seller Representations; Indemnification. The Seller shall make customary representations and warranties in the definitive Agreement regarding its organization and authority, title to and ownership of the Shares, the financial statements, liabilities, taxes, compliance with applicable law, litigation, and the business, in each case subject to the specific exceptions expressly set forth in the disclosure schedule delivered by the Seller and agreed by the parties at signing. The representations shall include customary qualifications as to knowledge and materiality where appropriate and shall not be qualified by general written disclosure or by information made available to the Buyer except to the extent specifically identified in the disclosure schedule as an exception to the applicable representation. The definitive Agreement shall provide for customary survival periods and indemnification procedures, including an agreed cap, basket, and exclusive-remedy framework, with the escrow serving as the sole source of recovery for ordinary covered indemnification claims, except in cases of fraud.</w:t>
      </w:r>
    </w:p>
    <w:p>
      <w:r>
        <w:t>4. Confidentiality. Each party shall keep confidential the existence and terms of this Agreement and all non-public information received from the other party in connection with the transaction, and shall not disclose such information except to its representatives who need to know it and are bound by confidentiality obligations, or as required by law. A party may also disclose such information to its affiliates, professional advisers, and actual or prospective financing sources and their representatives, in each case only to the extent reasonably necessary for the transaction and subject to confidentiality obligations at least as protective as those in this Agreement. A party may disclose information to the extent reasonably required in connection with enforcing this Agreement or obtaining financing for the transaction, provided that, where legally permissible and reasonably practicable, it gives the other party prior notice and limits disclosure to what is reasonably necessary. This clause does not apply to information that is or becomes publicly available other than through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