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by wire transfer of immediately available funds at Closing, without setoff or deduction.</w:t>
      </w:r>
    </w:p>
    <w:p>
      <w:r>
        <w:t>2. Closing. Closing shall occur within 30 days after the date this Agreement is signed, at a time and place (including by electronic exchange of documents and funds) mutually agreed by the parties, subject to satisfaction or waiver of the conditions to Closing set forth in this Agreement.</w:t>
      </w:r>
    </w:p>
    <w:p>
      <w:r>
        <w:t>3. Representations. The Seller represents that, to the Seller’s knowledge, the financial statements delivered to the Buyer were prepared from the books and records of the Seller and fairly present, in all material respects, the financial condition and results of operations reflected therein as of the dates and for the periods indicated.</w:t>
      </w:r>
    </w:p>
    <w:p>
      <w:r>
        <w:t>4. Confidentiality. Each party shall keep confidential the existence and terms of this Agreement and information received from the other party in connection with the transactions contemplated hereby, and shall not disclose such information except to its representatives who need to know it and are bound by confidentiality obligations, as required by law or regulation, or with the other party’s prior written consent. This Section does not restrict information that becomes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