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Escrow. The purchase price shall be USD 42,000,000, subject to (a) an increase or decrease, dollar for dollar, for the amount by which Closing Working Capital exceeds or is less than the agreed target working capital, (b) a reduction for Closing Indebtedness, and (c) a reduction for unpaid Company Transaction Expenses, in each case determined in accordance with accounting principles consistently applied in the preparation of the Financial Statements and the procedures set forth in this Agreement. The parties shall agree before Closing on the target working capital and the specific calculation and dispute-resolution procedures. At Closing, the Buyer shall pay the resulting amount, less an escrow equal to five percent (5%) of the purchase price, to an independent escrow agent under an escrow agreement mutually agreed by the parties. The escrow shall secure only the Seller’s indemnification obligations under this Agreement, shall be released twelve (12) months after Closing except for amounts subject to a timely, good-faith claim, and shall be the Buyer’s sole source of recovery for such claims except in the case of fraud. The Buyer shall not set off or deduct any amount from any payment due under this Agreement except for an amount expressly agreed in writing by the Seller or finally determined to be due by a court of competent jurisdiction, in either case subject to the terms and limitations of this Agreement.</w:t>
      </w:r>
    </w:p>
    <w:p>
      <w:r>
        <w:t>2. Closing; Conditions; Outside Date. Closing shall occur within five (5) business days after satisfaction or waiver of the conditions to Closing, and in no event later than sixty (60) days after the date this Agreement is signed (the “Outside Date”), at a time and place (including by electronic exchange of documents and funds) mutually agreed by the parties. Either party may terminate this Agreement by written notice if Closing has not occurred by the Outside Date, unless the failure to close results from that party’s breach. The Buyer’s obligation to close is conditioned on (a) completion by the Buyer, on or before the Outside Date, of its due diligence review, with the results reasonably satisfactory to the Buyer, (b) receipt of all governmental and other required approvals, (c) the Seller’s representations being true and correct in all material respects as of Closing (subject to their stated materiality and knowledge qualifications), (d) the Seller having performed in all material respects its covenants required to be performed by Closing, and (e) no order prohibiting the transaction being in effect. The Seller’s obligation to close is conditioned on the Buyer’s representations being true and correct in all material respects, the Buyer’s performance in all material respects of its covenants required to be performed by Closing, receipt of all required approvals, and no order prohibiting the transaction being in effect. Each party shall use reasonable efforts to obtain approvals and satisfy the conditions applicable to it. A condition may be waived only in writing by the party entitled to its benefit.</w:t>
      </w:r>
    </w:p>
    <w:p>
      <w:r>
        <w:t>3. Representations. Except as set forth in the disclosure schedules delivered by the Seller at signing, the Seller represents to the Buyer as of the date of this Agreement and as of Closing that: (a) the financial statements delivered to the Buyer were prepared from the books and records of the Company in accordance with accounting principles consistently applied during the periods covered thereby, and fairly present, in all material respects, the financial condition and results of operations of the Company as of the dates and for the periods indicated; (b) the Company is duly organized, validly existing and in good standing under the laws of its jurisdiction of organization and has the requisite power to own its properties and conduct its business as presently conducted; (c) the Seller has authority to execute and perform this Agreement, and this Agreement is binding on the Seller, subject to applicable bankruptcy and equitable principles; (d) the Seller owns the shares being sold, which constitute all of the issued and outstanding equity of the Company, free of liens other than restrictions under applicable securities laws; (e) the Company has timely filed all material tax returns required to be filed and paid all material taxes due, subject to good-faith contests and adequate reserves; (f) the Company has no material liabilities required to be reflected on a balance sheet prepared in accordance with the accounting principles described above, except liabilities reflected or reserved in the Financial Statements, incurred in the ordinary course since their date, or disclosed in the schedules; (g) there is no action or proceeding pending, or to the Seller’s knowledge threatened in writing, that would reasonably be expected to prevent or materially delay the transaction; and (h) to the Seller’s knowledge, the Company is in compliance in all material respects with laws applicable to its business. The representations are subject to the qualifications stated in this Section and the disclosure schedules. The Buyer acknowledges that its remedies for any breach are subject to the express limitations, procedures, and exclusive-remedy provisions of this Agreement.</w:t>
      </w:r>
    </w:p>
    <w:p>
      <w:r>
        <w:t>4. Confidentiality. Each party shall keep confidential the existence and terms of this Agreement and information received from the other party in connection with the transactions contemplated hereby, and shall not disclose such information except to its representatives, financing sources, and professional advisers who need to know it and are bound by confidentiality obligations at least as protective as those in this Section; as required by law or regulation (with prior notice where legally permitted); with the other party’s prior written consent; or as reasonably necessary in connection with enforcing this Agreement or pursuing a remedy under it. This Section does not restrict information that becomes publicly available other than through a breach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Aldous Finch LLP</dc:creator>
  <cp:keywords/>
  <dc:description/>
  <cp:lastModifiedBy/>
  <cp:revision>1</cp:revision>
  <dcterms:created xsi:type="dcterms:W3CDTF">2013-12-23T23:15:00Z</dcterms:created>
  <dcterms:modified xsi:type="dcterms:W3CDTF">2013-12-23T23:15:00Z</dcterms:modified>
  <cp:category/>
</cp:coreProperties>
</file>