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At Closing, the Buyer shall pay the Seller USD 45,000,000 in cash by wire transfer of immediately available funds to an account designated by the Seller. The Purchase Price shall not be subject to set-off, counterclaim, or reduction, except as expressly provided in this Agreement.</w:t>
      </w:r>
    </w:p>
    <w:p>
      <w:r>
        <w:t>2. Closing. Closing shall occur remotely by exchange of executed documents and funds no later than 30 days after the date of this Agreement, subject to satisfaction or waiver of the conditions to Closing expressly set forth in this Agreement. The Buyer shall use commercially reasonable efforts to consummate the transactions contemplated by this Agreement promptly.</w:t>
      </w:r>
    </w:p>
    <w:p>
      <w:r>
        <w:t>3. Representations. The Seller represents that, except as set forth in the disclosure schedules, the financial statements delivered to the Buyer were prepared in accordance with the accounting principles stated therein, consistently applied, and fairly present in all material respects the financial condition of the Seller as of their respective dates and the results of operations for the periods covered thereby. The Seller makes no representation or warranty other than those expressly set forth in this Agreement. Each representation and warranty is subject to the qualifications and limitations expressly stated in this Agreement.</w:t>
      </w:r>
    </w:p>
    <w:p>
      <w:r>
        <w:t>4. Confidentiality. Each party shall keep confidential the existence and terms of this Agreement and any non-public information received from the other party in connection with the transactions contemplated hereby, and shall not disclose such information except to its representatives who need to know it and are bound by confidentiality obligations, as required by law or applicable regulation, or with the other party’s prior written consent. A party making a legally required disclosure shall, to the extent legally permitted, give the other party prompt notice and reasonably cooperate in seeking confidential treatment.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