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42,500,000 in cash by wire transfer of immediately available funds to an account designated by the Seller. The Purchase Price is fixed and shall not be subject to any post-Closing adjustment, set-off, counterclaim, escrow, holdback, or reduction. The Buyer’s obligation to pay the Purchase Price is not conditioned on obtaining financing or on completion of due diligence.</w:t>
      </w:r>
    </w:p>
    <w:p>
      <w:r>
        <w:t>2. Closing. Closing shall occur remotely by exchange of executed documents and funds no later than 30 days after the date of this Agreement. The Buyer’s obligation to consummate the transactions contemplated hereby shall be subject only to the Seller’s delivery of the closing deliverables expressly specified in this Agreement and the absence of a final, non-appealable order prohibiting Closing. The Buyer shall use commercially reasonable efforts to consummate the transactions promptly and shall not be entitled to delay or terminate Closing based on financing or the completion or outcome of due diligence.</w:t>
      </w:r>
    </w:p>
    <w:p>
      <w:r>
        <w:t>3. Representations. The Seller represents only that: (a) it is duly organized, validly existing, and has authority to execute and perform this Agreement; (b) this Agreement has been duly authorized and executed by the Seller and is binding upon it, subject to customary bankruptcy and equitable principles; (c) the Seller owns the shares being sold, free of liens created by the Seller; and (d) the financial statements delivered to the Buyer were prepared in accordance with the accounting principles stated therein, consistently applied, and fairly present in all material respects the financial condition of the Seller as of their respective dates and results of operations for the periods covered thereby. The foregoing representations are subject to the disclosure schedules delivered with this Agreement and to the qualifications and limitations expressly stated herein. They survive Closing for 12 months, except the representations in clauses (a) through (c), which survive for 24 months. The Seller makes no other representation or warranty, express or implied. Any indemnification for breach of the foregoing representations shall be the Buyer’s exclusive remedy, subject to an aggregate cap equal to 5% of the Purchase Price and a tipping basket equal to 1% of the Purchase Price; no claim may be recovered unless the aggregate of covered losses exceeds that basket, in which case recovery is limited to losses in excess of the basket. No escrow or purchase-price retention shall apply. These limitations do not apply to a party’s fraud.</w:t>
      </w:r>
    </w:p>
    <w:p>
      <w:r>
        <w:t>4. Confidentiality. Each party shall keep confidential the existence and terms of this Agreement and any non-public information received from the other party in connection with the transactions contemplated hereby, and shall not disclose such information except to its representatives, financing sources, and professional advisers who need to know it and are bound by confidentiality obligations, as required by law or applicable regulation, or with the other party’s prior written consent. These restrictions do not apply to information that the receiving party can demonstrate (a) was already known to it without a duty of confidentiality, (b) was independently developed without use of or reference to the disclosing party’s confidential information, or (c) was obtained from a source not known by the receiving party to be under a duty of confidentiality. A party making a legally required disclosure shall, to the extent legally permitted, give the other party prompt notice and reasonably cooperate in seeking confidential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