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without setoff, deduction or counterclaim, in exchange for the Shares.</w:t>
      </w:r>
    </w:p>
    <w:p>
      <w:r>
        <w:t>2. Closing. Closing shall occur within 30 days after the date this Agreement is signed, at a time and by means agreed by the parties, subject to satisfaction or waiver of the conditions to Closing set out in this Agreement. The Buyer’s obligation to consummate the purchase shall not be subject to any financing condition.</w:t>
      </w:r>
    </w:p>
    <w:p>
      <w:r>
        <w:t>3. Representations. The Seller represents, except as set forth in the disclosure schedules delivered with this Agreement, that, to the Seller’s knowledge, the financial statements provided to the Buyer are accurate in all material respects as of their respective dates. No representation or warranty is made with respect to projections, forecasts or other forward-looking information.</w:t>
      </w:r>
    </w:p>
    <w:p>
      <w:r>
        <w:t>4. Confidentiality. Each party shall keep confidential the existence and terms of this Agreement and information received from the other party in connection with the transaction, and shall not disclose such information except to its representatives who need to know it and are bound by confidentiality obligations, as required by law, or with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