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SHARE PURCHASE AGREEMENT</w:t>
      </w:r>
    </w:p>
    <w:p>
      <w:r>
        <w:t>1. Purchase Price; Closing Adjustment. The aggregate purchase price for the Shares shall be USD 42,000,000 (the “Base Purchase Price”), subject to adjustment as provided in this Section. At Closing, Buyer shall pay Seller by wire transfer of immediately available funds to an account designated by Seller in writing at least two business days before Closing an amount equal to the Base Purchase Price, minus Closing Indebtedness, plus Closing Cash, minus any excess of Transaction Expenses over amounts paid before Closing, plus or minus the amount by which Closing Net Working Capital is greater or less than the agreed Net Working Capital Target, in each case without duplication (the “Estimated Closing Payment”). “Net Working Capital” means current assets (excluding Cash and income tax assets) less current liabilities (excluding Indebtedness, Transaction Expenses, and income tax liabilities), determined consistently with the agreed accounting principles and the illustrative calculation below. “Closing Indebtedness,” “Closing Cash,” and “Transaction Expenses” shall be determined as of immediately before Closing. At least three business days before Closing, Seller shall deliver a good-faith estimated closing statement with reasonable supporting detail. Within 90 days after Closing, Buyer shall deliver its proposed closing statement and reasonable supporting detail. Seller shall have 30 days to review and dispute it; the parties shall negotiate disputed items in good faith for 20 days, after which unresolved accounting disputes shall be submitted to an independent nationally recognized accounting firm, acting as an expert and not an arbitrator, whose determination shall be final and binding and limited to disputed items. Each party shall provide reasonable access to relevant books and records. The party owing the resulting amount shall pay it by wire within five business days after final determination. Any such payment is an adjustment to the purchase price. Illustrative calculation only: with Base Purchase Price of USD 42,000,000, Closing Indebtedness of USD 4,000,000, Closing Cash of USD 1,000,000, Transaction Expenses of USD 500,000, and Closing Net Working Capital equal to the agreed target, the adjusted price would be USD 38,500,000. The example does not establish the target or any actual closing amount. No amount may be counted more than once.</w:t>
      </w:r>
    </w:p>
    <w:p>
      <w:r>
        <w:t>2. Closing; Conditions; Covenants. Closing shall occur within 30 days after execution, at a time and by means agreed by the parties, subject to satisfaction or written waiver of customary conditions, including (a) accuracy of each party’s representations at the applicable agreed standard, (b) performance in all material respects of its pre-Closing covenants, (c) no order prohibiting the transaction, and (d) delivery of agreed closing documents. Buyer’s obligation to close is not subject to a financing condition. Before Closing, Seller shall operate the business in the ordinary course, subject to customary exceptions and Buyer’s consent (not unreasonably withheld, conditioned, or delayed) for material actions outside that course; Buyer shall keep transaction information confidential and use reasonable efforts to obtain required approvals. Each party shall cooperate in making required filings. Following Closing, each party shall reasonably cooperate on the closing adjustment and preserve and provide reasonable access to transaction-relevant books and records, subject to confidentiality and legal restrictions.</w:t>
      </w:r>
    </w:p>
    <w:p>
      <w:r>
        <w:t>3. Representations; Disclosure Schedules; Indemnification. Seller shall make customary representations and warranties, as qualified by the disclosure schedules delivered at signing, concerning Seller’s authority and enforceability; title to the Shares; capitalization; the Company’s financial statements; absence of undisclosed liabilities; taxes; compliance with law; litigation; material contracts; employees and employee matters; and brokers. Except for expressly specified fundamental representations, Seller’s representations shall be qualified by materiality and, where appropriate, Seller’s actual knowledge after reasonable inquiry. The financial-statement representation shall be limited to the agreed statements and period and shall not cover projections, forecasts, or other forward-looking information. Buyer shall make customary representations concerning its authority, enforceability, funds, and brokers. The parties shall agree and deliver disclosure schedules identifying exceptions; no schedule is represented as attached to this draft. Seller shall indemnify Buyer for direct losses from breaches of Seller’s representations, warranties, or covenants and specified assumed liabilities, and Buyer shall indemnify Seller for direct losses from breaches of Buyer’s representations, warranties, or covenants and assumed obligations. General representation claims shall survive for 18 months after Closing; fundamental representation claims shall survive for six years; tax claims shall survive until 60 days after expiration of the applicable limitations period; and covenant claims shall survive for the applicable performance period plus 60 days. General claims shall be subject to a deductible basket of 1% of the Base Purchase Price and an aggregate cap of 10% of the Base Purchase Price; fundamental representation and fraud claims shall be subject to an aggregate cap not exceeding the Base Purchase Price, and tax claims shall be subject to the cap expressly agreed for tax matters. No recovery may exceed actual direct loss, be duplicative, or include consequential, punitive, or exemplary damages, except to the extent actually awarded to a third party or arising from fraud. Buyer shall give reasonably prompt written notice describing the claim and estimated amount; delay shall reduce recovery only to the extent of material prejudice. Seller may control the defense of third-party claims with counsel reasonably acceptable to Buyer, and Buyer may participate at its own expense; no settlement imposing non-monetary relief or an admission on Buyer may be made without its consent, not unreasonably withheld. The parties shall mitigate losses and seek available insurance or third-party recoveries, net of reasonable recovery costs. No setoff is permitted except for amounts finally determined under the closing adjustment procedure or expressly agreed or finally determined as indemnifiable under this Section; any such setoff is limited to amounts then due under those procedures.</w:t>
      </w:r>
    </w:p>
    <w:p>
      <w:r>
        <w:t>4. Confidentiality. Each party shall keep confidential the existence and terms of this Agreement and information received from the other party in connection with the transaction, and shall use such information solely for evaluating, consummating, or enforcing the transaction. Disclosure is permitted to a party’s representatives, financing sources, lenders, investors, insurers, and other customary transaction recipients who need to know the information and are bound by confidentiality obligations, and as required by law. To the extent legally permitted, a party required to disclose shall give the other party advance notice and reasonably cooperate, at the other party’s expense, in seeking protective treatment. Neither party shall make a public announcement without the other party’s prior written consent, except as required by law after, where legally permitted, advance notice and consultation.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Share Purchase Agreement (Draft)</dc:title>
  <dc:subject/>
  <dc:creator>Drafting Associate, Aldous Finch LLP</dc:creator>
  <cp:keywords/>
  <dc:description/>
  <cp:lastModifiedBy/>
  <cp:revision>1</cp:revision>
  <dcterms:created xsi:type="dcterms:W3CDTF">2013-12-23T23:15:00Z</dcterms:created>
  <dcterms:modified xsi:type="dcterms:W3CDTF">2013-12-23T23:15:00Z</dcterms:modified>
  <cp:category/>
</cp:coreProperties>
</file>