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in immediately available funds at Closing, without setoff or deduction except as required by applicable law.</w:t>
      </w:r>
    </w:p>
    <w:p>
      <w:r>
        <w:t>2. Closing. Closing shall occur within 30 days of signing.</w:t>
      </w:r>
    </w:p>
    <w:p>
      <w:r>
        <w:t>3. Representations. The Seller represents that the financial statements delivered to the Buyer are accurate in all material respects as of their respective dates and were prepared in accordance with the accounting principles consistently applied by the Seller.</w:t>
      </w:r>
    </w:p>
    <w:p>
      <w:r>
        <w:t>4. Confidentiality. The terms of this Agreement are confidential. A party may disclose them to its affiliates and its and their respective directors, officers, employees, financing sources, and professional advisers who need to know and are bound by confidentiality obligations, or as required by law, regulation, or court order; provided that, to the extent legally permitted, the disclosing party gives the other party prompt notice of any required 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