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Closing Accounts. The purchase price for the Shares shall be USD 42,000,000, subject to the adjustments set out in this Section. Within 20 days after execution, the Buyer shall complete its due diligence review and notify the Seller of any matter that it reasonably believes is materially inconsistent with information provided by the Seller; the parties shall promptly discuss any such matter in good faith. The Buyer's obligation to close is conditioned on completion of due diligence satisfactory to the Buyer, acting reasonably, by the end of that period. At Closing, the Buyer shall pay the estimated purchase price, in immediately available funds, as adjusted for estimated cash, indebtedness, transaction expenses and working capital. Within 60 days after Closing, the Buyer shall deliver a proposed closing statement calculating those items as of Closing, with reasonable supporting detail. The closing statement shall apply accounting principles consistent with those used in the preparation of the financial statements, except that the agreed working-capital target (to be established by the parties before signing) shall be calculated on a normalized basis and the statement shall not include items counted as cash, indebtedness, or transaction expenses more than once. The Seller shall have 30 days to review and dispute the statement; unresolved disputed items shall be submitted to an independent accounting firm jointly selected by the parties, acting as expert and not arbitrator. The resulting adjustment shall be paid within five business days. No party may withhold or set off any amount against the purchase price or other payment except for amounts agreed in writing by the other party or finally determined to be due under a final, non-appealable judgment.</w:t>
      </w:r>
    </w:p>
    <w:p>
      <w:r>
        <w:t>2. Closing; Conditions. Closing shall occur within 30 days after satisfaction or waiver of the conditions below, or on another date agreed in writing. Each party's obligation to close is conditioned on the other party's material performance of its pre-Closing covenants and the absence of any law or order prohibiting Closing. The Buyer's obligation is additionally conditioned on (a) completion of due diligence as provided in Section 1, (b) the Seller's representations being true and correct at signing and at Closing, subject to their stated qualifications and any agreed materiality scrape in the definitive indemnity provisions, (c) delivery of the agreed ancillary documents, including duly executed share-transfer instruments, and (d) no material breach of the Seller's covenants. The Seller's obligation is conditioned on the Buyer's payment of the Closing amount and delivery of its agreed ancillary documents. Conditions may be waived only in writing by the party entitled to their benefit.</w:t>
      </w:r>
    </w:p>
    <w:p>
      <w:r>
        <w:t>3. Seller Representations. Except as set forth in the disclosure schedules to be agreed and delivered with the definitive agreement, the Seller represents as of signing and Closing that: (a) it is duly organized, validly existing and has authority to enter into and perform this Agreement; (b) it has good title to the Shares, free of liens created by the Seller, and authority to transfer them; (c) the financial statements delivered to the Buyer fairly present, in all material respects, the financial condition and results of operations of the business for the periods stated and were prepared consistently in accordance with the accounting principles applicable to the Seller, subject to the notes thereto and, for interim statements, normal year-end adjustments; (d) the business has no liabilities required to be reflected under those accounting principles that are not reflected or reserved for in the financial statements, other than liabilities incurred in the ordinary course since their date, disclosed in the schedules, or otherwise expressly contemplated by this Agreement; (e) the material contracts identified in the schedules are in force and, to the Seller's knowledge, neither the Seller nor any counterparty is in material breach; (f) the Seller is in compliance in all material respects with applicable law in conducting the business; (g) there is no pending litigation against the Seller relating to the Shares or business that would reasonably be expected to be material to the business, and, to the Seller's knowledge, none threatened in writing; (h) required tax returns have been filed and taxes due have been paid or adequately provided for, subject to good-faith contests and disclosed matters; and (i) the Seller has good title to, or valid rights to use, the material assets used in the business, subject to permitted liens and ordinary-course arrangements. The definitive agreement will include customary definitions, disclosure schedules, survival periods, and negotiated indemnity limitations and procedures.</w:t>
      </w:r>
    </w:p>
    <w:p>
      <w:r>
        <w:t>4. Confidentiality. The terms of this Agreement are confidential. A party may disclose them to its affiliates and its and their respective directors, officers, employees, financing sources, and professional advisers who need to know them in connection with the transaction, provided such recipients are informed of their confidential nature and are bound by confidentiality obligations or professional duties of confidentiality. Each party is responsible for its representatives' compliance with this Section. A party may also disclose information as required by law, regulation, or court order; provided that, to the extent legally permitted, it gives the other party prompt notice of the required disclosure and reasonably cooperates, at the other party's expense, in seeking protective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