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by wire transfer of immediately available funds, without setoff, deduction, or withholding except as required by applicable law.</w:t>
      </w:r>
    </w:p>
    <w:p>
      <w:r>
        <w:t>2. Closing. Closing shall occur within 30 days after signing, or on such other date as the parties agree in writing, subject to the satisfaction or waiver of the conditions to Closing set forth in this Agreement. The parties shall cooperate in good faith to complete the Closing promptly.</w:t>
      </w:r>
    </w:p>
    <w:p>
      <w:r>
        <w:t>3. Representations. The Seller represents that the financial statements made available to the Buyer were prepared in accordance with the accounting principles consistently applied by the Seller and fairly present, in all material respects, the financial condition of the Seller as of their respective dates and the results of its operations for the periods covered thereby.</w:t>
      </w:r>
    </w:p>
    <w:p>
      <w:r>
        <w:t>4. Confidentiality. The parties shall keep confidential the terms of this Agreement and information exchanged in connection with the transaction, except to the extent disclosure is required by law or made to a party’s affiliates, financing sources, or representatives who are bound by confidentiality obligations, or as otherwise agreed in writing by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