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 Escrow. The base purchase price is USD 45,000,000 (the “Base Purchase Price”), subject to adjustment, without duplication, for Closing Indebtedness, Closing Cash, and Closing Working Capital as follows: the Base Purchase Price shall be increased by Closing Cash and by the amount, if any, by which Closing Working Capital exceeds the agreed Working Capital Target, and decreased by Closing Indebtedness and by the amount, if any, by which the Working Capital Target exceeds Closing Working Capital. The parties shall agree before signing the definitive agreement on the definitions, target, accounting principles, illustrative calculation, and dispute procedure for these items. At Closing, Buyer shall pay the estimated adjusted purchase price, less the Escrow Amount, by wire transfer of immediately available funds. The Escrow Amount shall be 5% of the Base Purchase Price, deposited with a mutually agreed escrow agent under an escrow agreement, to secure only timely asserted indemnification claims under this Agreement; it shall be released to Seller 12 months after Closing, less amounts subject to timely, specifically noticed claims, which shall remain held only until resolved. Buyer may not set off or withhold any amount except an amount agreed in writing by Seller or finally determined by a court of competent jurisdiction, and then only to the extent payable under this Agreement. Within 90 days after Closing, Buyer shall deliver its proposed closing statement with reasonable supporting detail; Seller shall have 30 days to review and dispute it. Undisputed amounts shall be paid within five business days after agreement or final determination. Disputed items shall be submitted to an independent nationally recognized accounting firm jointly selected by the parties, acting as an expert and not an arbitrator, whose determination shall be limited to disputed items and within the range of the parties’ positions. The parties shall cooperate and provide reasonable access to relevant books and records for this purpose. Any purchase price payment and adjustment shall be treated consistently for tax purposes to the extent permitted by law.</w:t>
      </w:r>
    </w:p>
    <w:p>
      <w:r>
        <w:t>2. Closing; Conditions; Covenants; Termination. Closing shall occur within 30 days after signing, or on another date agreed in writing, subject to (a) expiration or termination of any applicable waiting period and receipt of required governmental and third-party consents, (b) the Seller’s representations being true and correct in all material respects as of Closing (subject to any expressly stated materiality qualifiers and customary bring-down standards to be set out in the definitive agreement), (c) the Seller having performed in all material respects its covenants required to be performed by Closing, and (d) the Buyer having completed its diligence review, acting reasonably and in good faith, by the date 30 days after signing. The Buyer shall promptly identify any material diligence concern and provide the Seller a reasonable opportunity to address it; the diligence condition may not be invoked after its stated deadline absent fraud or intentional concealment. From signing until Closing, the Seller shall operate the business in the ordinary course consistent with past practice, preserve its organization and material business relationships, and not, outside the ordinary course or as otherwise agreed by Buyer (such agreement not to be unreasonably withheld, conditioned, or delayed), incur material indebtedness, dispose of material assets, make extraordinary distributions, or enter into or materially amend a material contract. The Seller shall provide customary closing certificates, transfer instruments, and other documents reasonably necessary to consummate the transaction, and the Buyer shall deliver the closing payment and executed transaction documents. Each party shall use commercially reasonable efforts to obtain required consents and satisfy its conditions. Either party may terminate by written notice if Closing has not occurred by the date 90 days after signing (the “Outside Date”), provided that a party whose material breach caused the failure may not rely on this right; the Outside Date may be extended by mutual written agreement. The parties shall cooperate in good faith to complete Closing promptly.</w:t>
      </w:r>
    </w:p>
    <w:p>
      <w:r>
        <w:t>3. Seller Representations; Indemnification. The definitive agreement shall include customary, specifically scheduled Seller representations and warranties, appropriately qualified by materiality and, where appropriate, Seller’s knowledge, concerning: organization and good standing; authority and enforceability; capitalization and title to the shares; the financial statements and accounts; absence of undisclosed liabilities; compliance with applicable laws; litigation; taxes; material contracts; employees and employee benefits; and brokers. The existing financial-statement representation is limited to statements expressly identified in the disclosure schedules and made available to Buyer. Seller shall provide disclosure schedules at signing, and the representations shall be subject to matters fairly disclosed therein. Representations shall survive for 12 months after Closing, except fundamental representations and tax representations, which shall survive for the applicable statute of limitations (subject to customary extensions for timely claims). Seller shall indemnify Buyer for direct losses to the extent arising from breach of Seller’s representations, warranties, or covenants, subject to customary notice, mitigation, exclusive-remedy, and no-double-recovery provisions, a negotiated de minimis threshold and basket, and an aggregate cap of the Escrow Amount for general representation claims; fundamental and tax claims shall be subject to separately negotiated caps, not exceeding the purchase price. No consequential, punitive, exemplary, or lost-profit damages shall be recoverable except to the extent payable to a third party. Buyer shall give reasonably detailed written notice of any claim before the applicable survival period expires, and any timely claim shall survive only until resolved. The parties shall further specify customary procedures and exclusions in the definitive agreement.</w:t>
      </w:r>
    </w:p>
    <w:p>
      <w:r>
        <w:t>4. Confidentiality; Diligence. The parties shall keep confidential the terms of this Agreement and information exchanged in connection with the transaction, except to the extent disclosure is required by law or made to a party’s affiliates, financing sources, or representatives who are bound by confidentiality obligations, or as otherwise agreed in writing by the parties. Seller will make relevant diligence materials reasonably available to Buyer and its representatives through an agreed secure process, subject to customary confidentiality, privacy, privilege, and competition-law protections. Buyer shall use such materials solely to evaluate and consummate the transaction, shall not contact employees, customers, suppliers, or other business relations concerning the transaction without Seller’s prior written consent, and shall promptly return or destroy materials upon termination, subject to legal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