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to the Seller’s knowledge and in all material respects, that the financial statements delivered to the Buyer are accurate as of their respective dates.</w:t>
      </w:r>
    </w:p>
    <w:p>
      <w:r>
        <w:t>4. Confidentiality. Each Party shall keep the terms of this Agreement confidential, except to the extent disclosure is required by law or is made to its representatives who are bound by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