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Due Diligence. Subject to the Buyer’s satisfactory completion of due diligence and the Parties’ agreement on and execution of definitive transaction documents, the Buyer shall pay the Seller USD 35,000,000 for the Shares at Closing, subject to any adjustments expressly set forth in the definitive transaction documents.</w:t>
      </w:r>
    </w:p>
    <w:p>
      <w:r>
        <w:t>2. Closing. The closing of the purchase and sale of the Shares (the “Closing”) shall occur remotely or at such place as the Parties agree, on a date agreed by the Parties after satisfaction or waiver (to the extent permitted by applicable law) of the conditions to Closing set forth in the definitive transaction documents, but no later than [Outside Date], unless the Parties agree in writing to extend that date. The definitive transaction documents shall specify the conditions to Closing, including customary conditions relating to the accuracy of representations and warranties, performance of covenants, required approvals, and the absence of any legal restraint on the transaction.</w:t>
      </w:r>
    </w:p>
    <w:p>
      <w:r>
        <w:t>3. Representations and Warranties. The definitive transaction documents shall contain customary representations and warranties by the Seller and the Buyer, appropriately scoped to the transaction and subject to specifically negotiated disclosures, including representations by the Seller concerning organization and authority, title to the Shares, and the Company’s financial statements. The Seller shall represent that the financial statements delivered to the Buyer and identified in the definitive transaction documents fairly present, in all material respects, the financial position and results of operations of the Company as of the dates and for the periods indicated, and were prepared in accordance with [the accounting principles and practices to be specified in the definitive transaction documents], consistently applied for the periods covered, except as disclosed in those statements. The periods, statements covered, accounting principles, and any permitted exceptions shall be specified in the definitive transaction documents.</w:t>
      </w:r>
    </w:p>
    <w:p>
      <w:r>
        <w:t>4. Confidentiality. Each Party shall keep the terms of this Agreement confidential, except to the extent disclosure is required by law or is made to its representatives who are bound by confidentiality obligations.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