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(DRAFT)</w:t>
        <w:br/>
        <w:t>This Share Purchase Agreement (this “Agreement”) is entered into as of [ date ] by and between [ Seller ] (the “Seller”) and [ Buyer ] (the “Buyer”).</w:t>
      </w:r>
    </w:p>
    <w:p>
      <w:r>
        <w:t>1. Sale and Purchase; Purchase Price. Subject to the terms of this Agreement, at Closing the Seller shall sell, assign, transfer and deliver to the Buyer, and the Buyer shall purchase from the Seller, all of the issued and outstanding shares of [ Company ], identified on Schedule 1 (the “Shares”), free and clear of all liens created by the Seller. The aggregate purchase price for the Shares is USD 45,000,000 (the “Purchase Price”), payable by wire transfer of immediately available funds to the account designated by the Seller in writing at least two Business Days before Closing. The Buyer’s proposed USD 36,000,000 price is not accepted. “Business Day” means a day other than a Saturday, Sunday or public holiday on which commercial banks are open in [ jurisdiction ].</w:t>
      </w:r>
    </w:p>
    <w:p>
      <w:r>
        <w:t>2. Closing; Conditions; Deliveries. The closing of the transactions contemplated by this Agreement (the “Closing”) shall take place remotely by exchange of executed documents and funds on a date agreed in writing by the parties, no later than 30 days after signing, subject to satisfaction or written waiver by the party entitled to the benefit of each applicable condition. The Buyer’s obligation to close is conditioned on (a) the Seller’s representations being true and correct as of signing and Closing, subject to their stated materiality qualifications and the agreed bring-down standard, (b) the Seller having performed in all material respects its covenants required before Closing, (c) no order prohibiting the transaction, and (d) receipt of required governmental approvals. The Seller’s obligation to close is conditioned on (i) the Buyer’s representations being true and correct in all material respects, (ii) the Buyer having performed in all material respects its pre-Closing covenants, and (iii) receipt of the Purchase Price. At Closing, the Seller shall deliver duly executed share transfer instruments, any required share certificates, customary corporate approvals and a certificate confirming satisfaction of its closing conditions; the Buyer shall deliver the Purchase Price and a corresponding closing certificate. The parties shall execute and deliver such other customary transfer documents as are reasonably necessary to effect the transfer. Risk and title to the Shares pass upon delivery of the transfer instruments and payment of the Purchase Price at Closing.</w:t>
      </w:r>
    </w:p>
    <w:p>
      <w:r>
        <w:t>3. Representations; Disclosure Schedule. Each party represents to the other, as of signing and again as of Closing, that it is duly organized or validly existing as applicable, has authority to enter into and perform this Agreement, and that its execution and performance do not violate any binding obligation or law applicable to it. The Seller represents that it owns the Shares and has authority to transfer them, and that the Shares constitute all issued and outstanding equity interests of the Company. The Seller further represents that the financial statements identified in Schedule 3.1, consisting of [identify balance sheets and related statements of income, cash flows and changes in equity for the specified fiscal years and interim period] (the “Financial Statements”), were prepared in accordance with [identify applicable accounting basis, e.g., U.S. GAAP, consistently applied] and fairly present in all material respects the financial position and results of operations of the Company as of the dates and for the periods indicated, subject to the notes thereto and, for interim statements, normal year-end adjustments and the absence of footnotes. The foregoing is qualified by matters fairly disclosed in Schedule 3.1 and by materiality as stated; no representation is made as to projections or other forward-looking information. Schedule 3.1 shall identify the statements, periods, accounting basis and specific exceptions and shall be completed and agreed before execution; no factual exception is presently represented as disclosed. Except for the express representations in this Agreement and the applicable schedules, neither party makes any other representation or warranty. The Seller’s representations survive Closing for [12] months, except claims for fraud, which are not limited by that period. Subject to applicable law and the agreed limitations, the non-breaching party may seek damages for breach; the parties shall confer in good faith concerning notice and opportunity to cure, where practicable. Schedule 1: [Company legal name; class and number of Shares]. Schedule 3.1 (Financial Statements and Exceptions): [To be completed with identified statements, periods, accounting basis and specific disclosures].</w:t>
      </w:r>
    </w:p>
    <w:p>
      <w:r>
        <w:t>4. Covenants; Confidentiality; General. From signing until Closing, the Seller shall operate the Company in the ordinary course in all material respects and shall not intentionally take action principally intended to frustrate the transaction; the Buyer shall keep transaction information confidential and use it solely to evaluate and consummate the transaction. A party may disclose confidential information to its affiliates and its and their directors, officers, employees, financing sources and professional advisers who need to know it and are bound by confidentiality obligations, or as required by applicable law, regulation or legal process, provided that, to the extent legally permitted, it gives prompt notice and reasonably cooperates in seeking protective treatment. Neither party may make a public announcement concerning this Agreement without the other party’s prior written consent, except as required by law after consultation where practicable. The parties shall cooperate in obtaining required approvals. This Agreement, including its schedules, constitutes the entire agreement and may be amended only by a writing signed by both parties. It is governed by the laws of [ jurisdiction ], without regard to conflict-of-law principles. Notices shall be in writing and delivered to the addresses specified by the parties. This Agreement may be executed in counterparts and by electronic signature. No assignment is permitted without the other party’s written consent, except that the Buyer may assign to an affiliate that assumes its obligations, without releasing the Buyer. Nothing herein limits remedies for fraud or any remedy that cannot lawfully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