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(SELLER DRAFT)</w:t>
        <w:br/>
        <w:br/>
        <w:t>This Share Purchase Agreement (this “Agreement”) is dated [●] and is entered into by and between [Seller legal name] (the “Seller”) and [Buyer legal name] (the “Buyer”). The Seller and the Buyer are each a “Party” and together the “Parties.” The Seller agrees to sell, and the Buyer agrees to purchase, all of the issued and outstanding shares of [Company legal name], a [jurisdiction] corporation (the “Company”) (the “Shares”), on the terms and subject to the conditions set out below. Bracketed items and schedules require completion or agreement.</w:t>
      </w:r>
    </w:p>
    <w:p>
      <w:r>
        <w:t>1. PURCHASE PRICE; ADJUSTMENTS.</w:t>
        <w:br/>
        <w:t>(a) The proposed purchase price for the Shares is USD 45,000,000 (the “Purchase Price”), subject to the adjustments expressly set out in this Section. At Closing, the Buyer shall pay the estimated Purchase Price, less the Escrow Amount and any other agreed amount withheld at Closing, by wire transfer of immediately available funds to an account designated by the Seller in writing.</w:t>
        <w:br/>
        <w:t>(b) No later than five Business Days before Closing, the Seller shall deliver a good-faith estimate of Closing Cash, Closing Indebtedness, Transaction Expenses, and Net Working Capital as of the Closing (the “Estimated Closing Statement”). The Purchase Price shall be adjusted dollar-for-dollar by adding Closing Cash and the amount by which Net Working Capital exceeds the agreed target of USD [●] (the “Target Working Capital”), and subtracting Closing Indebtedness, Transaction Expenses, and any shortfall of Net Working Capital below the Target Working Capital. “Business Day” means a day other than a Saturday, Sunday, or public holiday in [●]. The definitions, accounting principles, sample calculation, and permitted items for these calculations shall be set out in Schedule 1.</w:t>
        <w:br/>
        <w:t>(c) Within 60 days after Closing, the Buyer shall deliver its proposed final closing statement, prepared consistently with Schedule 1 and based on the Company’s books and records. The Seller shall have 30 days to review and deliver a written notice identifying disputed items in reasonable detail. Undisputed items shall be final and binding. The Parties shall attempt in good faith to resolve disputed items for 20 days; unresolved items shall be submitted to an independent accounting firm mutually selected by the Parties, acting as an expert and not an arbitrator, whose determination shall be limited to the disputed items and within the range of the Parties’ submissions. The expert’s fees shall be allocated in proportion to the extent each Party’s position is not sustained. Any resulting payment shall be made within five Business Days. No item may be counted more than once.</w:t>
        <w:br/>
        <w:t>(d) “Closing Cash,” “Closing Indebtedness,” “Transaction Expenses,” and “Net Working Capital” shall be determined in accordance with Schedule 1. The Parties shall complete Schedule 1, including the target and accounting policies, before signing. Any escrow or holdback, including its amount, purpose, release conditions, and duration, is [not agreed; to be specified in Schedule 2]. No other earn-out, contingent consideration, or purchase-price adjustment applies unless expressly set out in this Agreement.</w:t>
      </w:r>
    </w:p>
    <w:p>
      <w:r>
        <w:t>2. CLOSING; CONDITIONS; COVENANTS; TERMINATION; GOVERNING LAW.</w:t>
        <w:br/>
        <w:t>(a) Closing shall take place remotely by exchange of executed documents and funds on the date that is 30 days after signing, or on another date agreed in writing (the “Closing Date”), subject to satisfaction or waiver of the conditions below. At Closing, the Seller shall deliver duly executed instruments transferring the Shares, customary resignations of Company officers and directors identified by the Buyer before Closing, and the other deliverables listed in Schedule 3. The Buyer shall deliver the amounts payable under Section 1 and its executed closing deliverables listed in Schedule 3.</w:t>
        <w:br/>
        <w:t>(b) The Buyer’s obligation to close is conditioned on (i) the Seller’s fundamental representations being true in all material respects and its other representations being true in all respects, in each case as of signing and Closing (subject to any expressly stated materiality qualifiers), (ii) the Seller having performed in all material respects its covenants required to be performed by Closing, (iii) no order prohibiting the transaction being in effect, and (iv) receipt of the governmental approvals, if any, specifically identified in Schedule 4. The Seller’s obligation to close is conditioned on (i) the Buyer’s representations being true in all material respects, (ii) the Buyer having performed in all material respects its covenants required to be performed by Closing, and (iii) no order prohibiting the transaction being in effect. Conditions may be waived only in writing by the Party entitled to their benefit.</w:t>
        <w:br/>
        <w:t>(c) From signing until Closing, the Seller shall cause the Company to operate in the ordinary course in all material respects, subject to applicable law, this Agreement, and actions taken with the Buyer’s written consent (not to be unreasonably withheld, conditioned, or delayed). The Seller shall provide reasonable access to the Company’s books, records, and personnel during normal business hours, subject to reasonable notice, confidentiality obligations, and protections against unreasonable business disruption. The Buyer shall keep diligence information confidential and shall not control the Company before Closing. Each Party shall use reasonable efforts to obtain approvals expressly applicable to it and to consummate the transaction; neither Party is required to make any divestiture or accept any material restriction unless agreed in writing.</w:t>
        <w:br/>
        <w:t>(d) Either Party may terminate this Agreement by written notice if Closing has not occurred by [●] (the “Outside Date”), unless the failure is principally caused by that Party’s breach, or if a final, non-appealable order permanently prohibits the transaction. A Party may terminate for the other Party’s material breach that would cause a closing condition to fail, if the breach is not cured within 20 days after written notice (or, if earlier, the Outside Date). Termination does not relieve a Party from liability for a prior willful breach. Sections concerning confidentiality, expenses, governing law, dispute resolution, and accrued rights survive termination.</w:t>
        <w:br/>
        <w:t>(e) Each Party shall bear its own transaction expenses, except as otherwise expressly provided. This Agreement, including its schedules, is the entire agreement concerning the transaction and may be amended only by a writing signed by both Parties. It may be executed in counterparts and by electronic signature. If any provision is unenforceable, the remaining provisions remain effective. Notices shall be in writing and delivered to the addresses and email contacts designated by the Parties. This Agreement and any non-contractual obligation arising out of it are governed by the laws of [●], excluding conflict-of-law rules. The courts located in [●] shall have exclusive jurisdiction, and each Party submits to that jurisdiction. The Parties shall complete the governing-law, forum, notice, and Outside Date placeholders before signing.</w:t>
      </w:r>
    </w:p>
    <w:p>
      <w:r>
        <w:t>3. REPRESENTATIONS; INDEMNIFICATION.</w:t>
        <w:br/>
        <w:t>(a) The Seller represents to the Buyer as of signing and, subject to any specified bring-down standard, as of Closing that: (i) the Seller is duly organized, validly existing, and authorized to enter into this Agreement; (ii) this Agreement is binding on the Seller, subject to applicable insolvency and equitable principles; (iii) the Seller owns the Shares beneficially and of record, free of liens created by the Seller, and has authority to transfer them; (iv) the Shares constitute all of the issued and outstanding equity interests of the Company; (v) the Company is duly organized and validly existing; (vi) execution and performance do not violate the Seller’s organizational documents or, to the Seller’s knowledge, any material agreement binding on the Seller; and (vii) the Company financial statements identified in Schedule 5, if and when provided, have been prepared in accordance with [specified accounting basis] consistently applied and fairly present, in all material respects, the Company’s financial position and results for the periods stated, subject to the qualifications and limitations expressly set out in Schedule 5. No representation is made as to financial statements or periods not identified and delivered in Schedule 5.</w:t>
        <w:br/>
        <w:t>(b) The Buyer represents as of signing and Closing that: (i) it is duly organized, validly existing, and authorized to enter into this Agreement; (ii) this Agreement is binding on it, subject to applicable insolvency and equitable principles; (iii) its execution and performance do not violate its organizational documents or any law or agreement applicable to it in a manner that would prevent or materially delay Closing; and (iv) it has, or at Closing will have, funds sufficient to pay the amounts due from it under this Agreement.</w:t>
        <w:br/>
        <w:t>(c) Except for the express representations in this Agreement, neither Party makes any representation or warranty, express or implied, including as to projections, forecasts, or other forward-looking information. The Buyer acknowledges that it has had the opportunity to conduct its own investigation and will rely only on the express representations in this Agreement. Nothing limits liability for fraud or for any matter that cannot lawfully be limited.</w:t>
        <w:br/>
        <w:t>(d) Subject to the limitations below, the Seller shall indemnify the Buyer for direct losses resulting from a breach of the Seller’s express representations or covenants, and the Buyer shall indemnify the Seller for direct losses resulting from a breach of the Buyer’s express representations or covenants and for liabilities expressly assumed by the Buyer. Claims shall be notified promptly with reasonable detail; delay excuses liability only to the extent materially prejudicial. The indemnified Party shall reasonably mitigate losses and may not recover more than once for the same matter. No consequential, punitive, exemplary, or lost-profit damages are recoverable except to the extent payable to a third party or arising from fraud.</w:t>
        <w:br/>
        <w:t>(e) Except for fraud, breaches of fundamental representations, and covenants to be performed after Closing, the Seller’s aggregate liability shall not exceed [●]% of the Purchase Price, and no claim shall be recoverable unless it exceeds USD [●], with aggregate claims recoverable only above USD [●]. Fundamental representations are limited to organization, authority, title to Shares, and capitalization. General representation claims must be brought within [18] months after Closing; fundamental representation claims within the applicable statute of limitations. The foregoing caps, thresholds, and survival periods are proposed and must be completed by agreement. Indemnification under this Section is the exclusive post-Closing remedy except for fraud, equitable relief, and rights that cannot lawfully be waived.</w:t>
      </w:r>
    </w:p>
    <w:p>
      <w:r>
        <w:t>4. CONFIDENTIALITY; SCHEDULES; GENERAL.</w:t>
        <w:br/>
        <w:t>(a) Each Party shall keep confidential the existence and terms of this Agreement and non-public information received from the other Party or the Company in connection with the transaction, and shall use such information solely to evaluate, document, and consummate the transaction. Disclosure is permitted to a Party’s affiliates, financing sources, and professional advisers who are bound by confidentiality obligations, as required by law or competent authority (with prior notice where legally permitted), or with the other Party’s written consent. This Section does not restrict information that becomes public without breach, was independently developed, or was lawfully obtained without a duty of confidentiality. If the transaction does not close, each Party shall, on request, return or destroy the other Party’s confidential information, subject to customary archival and legal-retention copies.</w:t>
        <w:br/>
        <w:t>(b) The following schedules are contemplated and are to be completed and agreed before signing: Schedule 1 (closing adjustment definitions, accounting policies, target working capital, and sample calculation); Schedule 2 (escrow or holdback, if any); Schedule 3 (closing deliverables); Schedule 4 (required governmental approvals); and Schedule 5 (identified financial statements, accounting basis, and any agreed exceptions). No schedule or supporting material is represented as attached unless actually delivered and expressly incorporated into the executed Agreement.</w:t>
        <w:br/>
        <w:t>(c) This draft is a proposal for negotiation, is subject to the Seller’s review and approval, and does not create a binding obligation unless and until executed by both Parties. The stated USD 45,000,000 Purchase Price is the Seller’s proposed price; all other terms remain subject to agreement. No financial statements, valuation, or purchase-price calculation have been supplied in the materials used to prepare this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