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To the Seller’s knowledge, the financial statements are accurate in all material respects.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