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Closing Adjustment. The purchase price for the Shares is USD 45,000,000 (the “Purchase Price”), subject to adjustment at Closing, dollar-for-dollar, for Company indebtedness, Company cash, unpaid transaction expenses and any shortfall in working capital relative to a target to be agreed by the parties. The parties will agree the accounting principles, estimated closing statement and post-Closing true-up procedures, including access to supporting records and an independent accountant process for disputed items, in the definitive agreement. The Seller will make available financial and working-capital information reasonably available to it through the agreed diligence process, subject to the confidentiality agreement and applicable law.</w:t>
      </w:r>
    </w:p>
    <w:p>
      <w:r>
        <w:t>2. Closing; Conditions. Closing will occur on a date agreed by the parties after satisfaction or waiver of the conditions to Closing, including completion of Buyer’s due diligence to its satisfaction, receipt of required governmental and other approvals, accuracy of the applicable representations and warranties (subject to agreed materiality standards), and performance in all material respects of the parties’ covenants. The definitive agreement will include customary termination rights and an outside date, with extensions where appropriate, and customary closing deliverables. Between signing and Closing, the Seller will cause the Company to operate in the ordinary course, subject to agreed exceptions, and will provide reasonable access to personnel, properties, books and records, subject to applicable law and privilege. The parties will cooperate in seeking required approvals and effecting the transaction.</w:t>
      </w:r>
    </w:p>
    <w:p>
      <w:r>
        <w:t>3. Representations; Indemnification. The definitive agreement will contain customary representations and warranties of the Seller and, as appropriate, the Company, including as to organization, authority, capitalization, subsidiaries, accounts and financial statements (which will fairly present the Company’s financial condition and results in all material respects), liabilities, taxes, material contracts, compliance with law, litigation, employees, assets, intellectual property and brokers, in each case subject to negotiated qualifications and disclosure schedules. Representations and warranties will be brought down at Closing and will survive for agreed periods. The agreement will provide customary indemnification procedures and limitations, including negotiated caps, baskets and an escrow or other agreed security, with customary exclusions and treatment of fundamental and specified claims.</w:t>
      </w:r>
    </w:p>
    <w:p>
      <w:r>
        <w:t>4. Confidentiality; General Provisions. Confidentiality obligations will be mutual and will permit customary disclosures to a party’s affiliates, financing sources and professional advisers, and disclosures required by law, subject to applicable notice and protective steps. The definitive agreement will coordinate this provision with the existing confidentiality agreement, which will remain in effect except as expressly modified. The definitive agreement will also include customary provisions regarding governing law, notices, assignment, entire agreement, amendments, counterparts and dispute resolution.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